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1044" w:rsidP="003F1044" w:rsidRDefault="003F1044" w14:paraId="5A040089" w14:textId="77777777">
      <w:pPr>
        <w:outlineLvl w:val="0"/>
        <w:rPr>
          <w:rFonts w:eastAsia="Times New Roman"/>
        </w:rPr>
      </w:pPr>
      <w:r>
        <w:rPr>
          <w:rFonts w:eastAsia="Times New Roman"/>
          <w:b/>
          <w:bCs/>
          <w:color w:val="000000"/>
        </w:rPr>
        <w:t>From:</w:t>
      </w:r>
      <w:r>
        <w:rPr>
          <w:rFonts w:eastAsia="Times New Roman"/>
          <w:color w:val="000000"/>
        </w:rPr>
        <w:t xml:space="preserve"> </w:t>
      </w:r>
      <w:proofErr w:type="spellStart"/>
      <w:r>
        <w:rPr>
          <w:rFonts w:eastAsia="Times New Roman"/>
          <w:color w:val="000000"/>
        </w:rPr>
        <w:t>Viesturs</w:t>
      </w:r>
      <w:proofErr w:type="spellEnd"/>
      <w:r>
        <w:rPr>
          <w:rFonts w:eastAsia="Times New Roman"/>
          <w:color w:val="000000"/>
        </w:rPr>
        <w:t xml:space="preserve"> </w:t>
      </w:r>
      <w:proofErr w:type="spellStart"/>
      <w:r>
        <w:rPr>
          <w:rFonts w:eastAsia="Times New Roman"/>
          <w:color w:val="000000"/>
        </w:rPr>
        <w:t>Blūmentāls</w:t>
      </w:r>
      <w:proofErr w:type="spellEnd"/>
      <w:r>
        <w:rPr>
          <w:rFonts w:eastAsia="Times New Roman"/>
          <w:color w:val="000000"/>
        </w:rPr>
        <w:t xml:space="preserve"> &lt;</w:t>
      </w:r>
      <w:hyperlink w:history="1" r:id="rId6">
        <w:r>
          <w:rPr>
            <w:rStyle w:val="Hyperlink"/>
            <w:rFonts w:eastAsia="Times New Roman"/>
          </w:rPr>
          <w:t>Viesturs.Blumentals@tm.gov.lv</w:t>
        </w:r>
      </w:hyperlink>
      <w:r>
        <w:rPr>
          <w:rFonts w:eastAsia="Times New Roman"/>
          <w:color w:val="000000"/>
        </w:rPr>
        <w:t>&gt;</w:t>
      </w:r>
      <w:r>
        <w:rPr>
          <w:rFonts w:eastAsia="Times New Roman"/>
          <w:color w:val="000000"/>
        </w:rPr>
        <w:br/>
      </w:r>
      <w:r>
        <w:rPr>
          <w:rFonts w:eastAsia="Times New Roman"/>
          <w:b/>
          <w:bCs/>
          <w:color w:val="000000"/>
        </w:rPr>
        <w:t>Sent:</w:t>
      </w:r>
      <w:r>
        <w:rPr>
          <w:rFonts w:eastAsia="Times New Roman"/>
          <w:color w:val="000000"/>
        </w:rPr>
        <w:t xml:space="preserve"> Monday, August 2, 2021 10:34:55 AM</w:t>
      </w:r>
      <w:r>
        <w:rPr>
          <w:rFonts w:eastAsia="Times New Roman"/>
          <w:color w:val="000000"/>
        </w:rPr>
        <w:br/>
      </w:r>
      <w:r>
        <w:rPr>
          <w:rFonts w:eastAsia="Times New Roman"/>
          <w:b/>
          <w:bCs/>
          <w:color w:val="000000"/>
        </w:rPr>
        <w:t>To:</w:t>
      </w:r>
      <w:r>
        <w:rPr>
          <w:rFonts w:eastAsia="Times New Roman"/>
          <w:color w:val="000000"/>
        </w:rPr>
        <w:t xml:space="preserve"> Satiksmes ministrija &lt;</w:t>
      </w:r>
      <w:hyperlink w:history="1" r:id="rId7">
        <w:r>
          <w:rPr>
            <w:rStyle w:val="Hyperlink"/>
            <w:rFonts w:eastAsia="Times New Roman"/>
          </w:rPr>
          <w:t>satiksmes.ministrija@sam.gov.lv</w:t>
        </w:r>
      </w:hyperlink>
      <w:r>
        <w:rPr>
          <w:rFonts w:eastAsia="Times New Roman"/>
          <w:color w:val="000000"/>
        </w:rPr>
        <w:t>&gt;</w:t>
      </w:r>
      <w:r>
        <w:rPr>
          <w:rFonts w:eastAsia="Times New Roman"/>
          <w:color w:val="000000"/>
        </w:rPr>
        <w:br/>
      </w:r>
      <w:r>
        <w:rPr>
          <w:rFonts w:eastAsia="Times New Roman"/>
          <w:b/>
          <w:bCs/>
          <w:color w:val="000000"/>
        </w:rPr>
        <w:t>Cc:</w:t>
      </w:r>
      <w:r>
        <w:rPr>
          <w:rFonts w:eastAsia="Times New Roman"/>
          <w:color w:val="000000"/>
        </w:rPr>
        <w:t xml:space="preserve"> Sintija Ziedone &lt;</w:t>
      </w:r>
      <w:hyperlink w:history="1" r:id="rId8">
        <w:r>
          <w:rPr>
            <w:rStyle w:val="Hyperlink"/>
            <w:rFonts w:eastAsia="Times New Roman"/>
          </w:rPr>
          <w:t>Sintija.Ziedone@sam.gov.lv</w:t>
        </w:r>
      </w:hyperlink>
      <w:r>
        <w:rPr>
          <w:rFonts w:eastAsia="Times New Roman"/>
          <w:color w:val="000000"/>
        </w:rPr>
        <w:t>&gt;</w:t>
      </w:r>
      <w:r>
        <w:rPr>
          <w:rFonts w:eastAsia="Times New Roman"/>
          <w:color w:val="000000"/>
        </w:rPr>
        <w:br/>
      </w:r>
      <w:r>
        <w:rPr>
          <w:rFonts w:eastAsia="Times New Roman"/>
          <w:b/>
          <w:bCs/>
          <w:color w:val="000000"/>
        </w:rPr>
        <w:t>Subject:</w:t>
      </w:r>
      <w:r>
        <w:rPr>
          <w:rFonts w:eastAsia="Times New Roman"/>
          <w:color w:val="000000"/>
        </w:rPr>
        <w:t xml:space="preserve"> Par Ministru </w:t>
      </w:r>
      <w:proofErr w:type="spellStart"/>
      <w:r>
        <w:rPr>
          <w:rFonts w:eastAsia="Times New Roman"/>
          <w:color w:val="000000"/>
        </w:rPr>
        <w:t>kabineta</w:t>
      </w:r>
      <w:proofErr w:type="spellEnd"/>
      <w:r>
        <w:rPr>
          <w:rFonts w:eastAsia="Times New Roman"/>
          <w:color w:val="000000"/>
        </w:rPr>
        <w:t xml:space="preserve"> 2012. </w:t>
      </w:r>
      <w:proofErr w:type="spellStart"/>
      <w:r>
        <w:rPr>
          <w:rFonts w:eastAsia="Times New Roman"/>
          <w:color w:val="000000"/>
        </w:rPr>
        <w:t>gada</w:t>
      </w:r>
      <w:proofErr w:type="spellEnd"/>
      <w:r>
        <w:rPr>
          <w:rFonts w:eastAsia="Times New Roman"/>
          <w:color w:val="000000"/>
        </w:rPr>
        <w:t xml:space="preserve"> 28. </w:t>
      </w:r>
      <w:proofErr w:type="spellStart"/>
      <w:r>
        <w:rPr>
          <w:rFonts w:eastAsia="Times New Roman"/>
          <w:color w:val="000000"/>
        </w:rPr>
        <w:t>augusta</w:t>
      </w:r>
      <w:proofErr w:type="spellEnd"/>
      <w:r>
        <w:rPr>
          <w:rFonts w:eastAsia="Times New Roman"/>
          <w:color w:val="000000"/>
        </w:rPr>
        <w:t xml:space="preserve"> </w:t>
      </w:r>
      <w:proofErr w:type="spellStart"/>
      <w:r>
        <w:rPr>
          <w:rFonts w:eastAsia="Times New Roman"/>
          <w:color w:val="000000"/>
        </w:rPr>
        <w:t>noteikumiem</w:t>
      </w:r>
      <w:proofErr w:type="spellEnd"/>
      <w:r>
        <w:rPr>
          <w:rFonts w:eastAsia="Times New Roman"/>
          <w:color w:val="000000"/>
        </w:rPr>
        <w:t xml:space="preserve"> Nr. 599 </w:t>
      </w:r>
    </w:p>
    <w:p w:rsidR="003F1044" w:rsidP="003F1044" w:rsidRDefault="003F1044" w14:paraId="669563C8" w14:textId="77777777">
      <w:pPr>
        <w:rPr>
          <w:rFonts w:eastAsia="Times New Roman"/>
        </w:rPr>
      </w:pPr>
      <w:r>
        <w:rPr>
          <w:rFonts w:eastAsia="Times New Roman"/>
        </w:rPr>
        <w:t> </w:t>
      </w:r>
    </w:p>
    <w:p w:rsidR="003F1044" w:rsidP="003F1044" w:rsidRDefault="003F1044" w14:paraId="0C21CB99" w14:textId="77777777">
      <w:pPr>
        <w:pStyle w:val="xmsonormal"/>
        <w:rPr>
          <w:lang w:val="lv-LV"/>
        </w:rPr>
      </w:pPr>
      <w:r>
        <w:rPr>
          <w:lang w:val="lv-LV"/>
        </w:rPr>
        <w:t>Labdien,</w:t>
      </w:r>
    </w:p>
    <w:p w:rsidR="003F1044" w:rsidP="003F1044" w:rsidRDefault="003F1044" w14:paraId="078C5B31" w14:textId="77777777">
      <w:pPr>
        <w:pStyle w:val="xmsonormal"/>
        <w:rPr>
          <w:lang w:val="lv-LV"/>
        </w:rPr>
      </w:pPr>
      <w:r>
        <w:rPr>
          <w:lang w:val="lv-LV"/>
        </w:rPr>
        <w:t> </w:t>
      </w:r>
    </w:p>
    <w:p w:rsidR="003F1044" w:rsidP="003F1044" w:rsidRDefault="003F1044" w14:paraId="2E931987" w14:textId="77777777">
      <w:pPr>
        <w:pStyle w:val="xmsonormal"/>
        <w:rPr>
          <w:lang w:val="lv-LV"/>
        </w:rPr>
      </w:pPr>
      <w:r>
        <w:rPr>
          <w:lang w:val="lv-LV"/>
        </w:rPr>
        <w:t>Tieslietu ministrija ir izskatījusi Satiksmes ministrijas izstrādāto precizēto Ministru kabineta noteikumu projektu “Grozījumi Ministru kabineta 2012. gada 28. augusta noteikumos Nr. 599 “Sabiedriskā transporta pakalpojumu sniegšanas un izmantošanas kārtība”” (turpmāk – noteikumu projekts) un tā anotāciju un atbalsta to tālāku virzību</w:t>
      </w:r>
      <w:r>
        <w:rPr>
          <w:b/>
          <w:bCs/>
          <w:lang w:val="lv-LV"/>
        </w:rPr>
        <w:t>, izsakot šādus iebildumus</w:t>
      </w:r>
      <w:r>
        <w:rPr>
          <w:lang w:val="lv-LV"/>
        </w:rPr>
        <w:t>:</w:t>
      </w:r>
    </w:p>
    <w:p w:rsidR="003F1044" w:rsidP="003F1044" w:rsidRDefault="003F1044" w14:paraId="5C4728C2" w14:textId="77777777">
      <w:pPr>
        <w:pStyle w:val="xmsonormal"/>
        <w:rPr>
          <w:lang w:val="lv-LV"/>
        </w:rPr>
      </w:pPr>
      <w:r>
        <w:rPr>
          <w:lang w:val="lv-LV"/>
        </w:rPr>
        <w:t>1. Saskaņā ar Ministru kabineta 2009. gada 15. decembra instrukcijas Nr. 19 "Tiesību akta projekta sākotnējās ietekmes izvērtēšanas kārtība</w:t>
      </w:r>
      <w:bookmarkStart w:name="x__Hlk74653639" w:id="0"/>
      <w:r>
        <w:rPr>
          <w:lang w:val="lv-LV"/>
        </w:rPr>
        <w:t>"</w:t>
      </w:r>
      <w:bookmarkEnd w:id="0"/>
      <w:r>
        <w:rPr>
          <w:lang w:val="lv-LV"/>
        </w:rPr>
        <w:t xml:space="preserve"> (turpmāk – instrukcija Nr.19)  14. punktu lūdzam papildināt noteikumu projekta anotāciju ar skaidrojumu par noteikumu projekta 1. punkta nepieciešamību un mērķi, ņemot vērā, ka mērķa – nodrošināt izņēmumu – sasniegšanai būtu pietiekami ar noteikumu projekta 2. punktu. Vienlaikus, ņemot vērā, ka tiek izdarīti vairāki grozījumi, aicinām apvienot noteikumu projekta 1. un 2. punktu.</w:t>
      </w:r>
    </w:p>
    <w:p w:rsidR="003F1044" w:rsidP="003F1044" w:rsidRDefault="003F1044" w14:paraId="30F376B7" w14:textId="77777777">
      <w:pPr>
        <w:pStyle w:val="xmsonormal"/>
        <w:rPr>
          <w:lang w:val="lv-LV"/>
        </w:rPr>
      </w:pPr>
      <w:r>
        <w:rPr>
          <w:lang w:val="lv-LV"/>
        </w:rPr>
        <w:t xml:space="preserve">Papildus lūdzam noteikumu projektu papildināt ar norādi par pasažiera identitātes noteikšanas mērķi saskaņā ar noteikumu projekta 8. punktu , noteikumu projekta anotācijā sniedzot skaidrojumu par tā samērīgumu un atbilstību privātpersonu </w:t>
      </w:r>
      <w:proofErr w:type="spellStart"/>
      <w:r>
        <w:rPr>
          <w:lang w:val="lv-LV"/>
        </w:rPr>
        <w:t>pamattiesībām</w:t>
      </w:r>
      <w:proofErr w:type="spellEnd"/>
      <w:r>
        <w:rPr>
          <w:lang w:val="lv-LV"/>
        </w:rPr>
        <w:t xml:space="preserve"> uz privāto dzīvi. Alternatīvi lūdzam sniegt skaidrojumu, kādēļ noteikumu projekta 8. punkts nebūtu precizējams.</w:t>
      </w:r>
    </w:p>
    <w:p w:rsidR="003F1044" w:rsidP="003F1044" w:rsidRDefault="003F1044" w14:paraId="071E14F7" w14:textId="77777777">
      <w:pPr>
        <w:pStyle w:val="xmsonormal"/>
        <w:rPr>
          <w:lang w:val="lv-LV"/>
        </w:rPr>
      </w:pPr>
      <w:r>
        <w:rPr>
          <w:lang w:val="lv-LV"/>
        </w:rPr>
        <w:t>Kā arī lūdzam papildināt noteikumu projekta anotācijā sniegto skaidrojumu par noteikumu projekta 5. un 6. punkta nepieciešamību un mērķi vai alternatīvi atbilstoši precizēt minētos punktus. Proti:</w:t>
      </w:r>
    </w:p>
    <w:p w:rsidR="003F1044" w:rsidP="003F1044" w:rsidRDefault="003F1044" w14:paraId="2816E9F9" w14:textId="77777777">
      <w:pPr>
        <w:pStyle w:val="xmsonormal"/>
        <w:rPr>
          <w:lang w:val="lv-LV"/>
        </w:rPr>
      </w:pPr>
      <w:r>
        <w:rPr>
          <w:lang w:val="lv-LV"/>
        </w:rPr>
        <w:t xml:space="preserve">pirmkārt,  norādām, ka pretēji noteikumu projekta anotācijā minētajam noteikumu Nr. 599 24. punkts </w:t>
      </w:r>
      <w:proofErr w:type="spellStart"/>
      <w:r>
        <w:rPr>
          <w:lang w:val="lv-LV"/>
        </w:rPr>
        <w:t>pirmšķietami</w:t>
      </w:r>
      <w:proofErr w:type="spellEnd"/>
      <w:r>
        <w:rPr>
          <w:lang w:val="lv-LV"/>
        </w:rPr>
        <w:t xml:space="preserve"> nedublē 23. punktu, bet gan noteic kā obligātu konkrētu pienākumu nodrošināt</w:t>
      </w:r>
      <w:r>
        <w:rPr>
          <w:rFonts w:ascii="Arial" w:hAnsi="Arial" w:cs="Arial"/>
          <w:color w:val="414142"/>
          <w:sz w:val="20"/>
          <w:szCs w:val="20"/>
          <w:shd w:val="clear" w:color="auto" w:fill="FFFFFF"/>
          <w:lang w:val="lv-LV"/>
        </w:rPr>
        <w:t xml:space="preserve">, </w:t>
      </w:r>
      <w:r>
        <w:rPr>
          <w:lang w:val="lv-LV"/>
        </w:rPr>
        <w:t>ka biļetes sabiedriskajā transportlīdzeklī var iegādāties konkrēti pie sabiedriskā transportlīdzekļa apkalpes vai biļešu automātā;</w:t>
      </w:r>
    </w:p>
    <w:p w:rsidR="003F1044" w:rsidP="003F1044" w:rsidRDefault="003F1044" w14:paraId="121ACFAC" w14:textId="77777777">
      <w:pPr>
        <w:pStyle w:val="xmsonormal"/>
        <w:rPr>
          <w:lang w:val="lv-LV"/>
        </w:rPr>
      </w:pPr>
      <w:r>
        <w:rPr>
          <w:lang w:val="lv-LV"/>
        </w:rPr>
        <w:t>otrkārt, no noteikumu projekta anotācijā ietvertā skaidrojuma izriet, ka šis anotācijas skaidrojums primāri attiecas uz biļešu iegādi pie sabiedriskā transportlīdzekļa apkalpes, bet nav skaidrs, kādēļ 24. punkta prasība nebūtu saglabājama attiecībā uz  biļešu iegādes iespējas obligātu nodrošināšanu biļešu automātā, nepieciešamības gadījumā paredzot konkrētus izņēmumus no tā;</w:t>
      </w:r>
    </w:p>
    <w:p w:rsidR="003F1044" w:rsidP="003F1044" w:rsidRDefault="003F1044" w14:paraId="299DC7A3" w14:textId="77777777">
      <w:pPr>
        <w:pStyle w:val="xmsonormal"/>
        <w:rPr>
          <w:lang w:val="lv-LV"/>
        </w:rPr>
      </w:pPr>
      <w:r>
        <w:rPr>
          <w:lang w:val="lv-LV"/>
        </w:rPr>
        <w:t>visbeidzot, norādām, lai gan noteikumu projekta anotācijā norādīts, ka potenciāli atteikties no biļešu tirdzniecības transportlīdzekļos varētu pilsētas nozīmes maršrutos, saglabājot līdzšinējo kārtību reģionālās nozīmes maršrutos, šāds nosacījums no noteikumu projekta 5. un 6. punkta neizriet,  un nav skaidrs, kādēļ attiecīgs izņēmums nav ietverams noteikumu Nr. 599 tekstā.</w:t>
      </w:r>
    </w:p>
    <w:p w:rsidR="003F1044" w:rsidP="003F1044" w:rsidRDefault="003F1044" w14:paraId="25007D00" w14:textId="77777777">
      <w:pPr>
        <w:pStyle w:val="xmsonormal"/>
        <w:rPr>
          <w:lang w:val="lv-LV"/>
        </w:rPr>
      </w:pPr>
      <w:r>
        <w:rPr>
          <w:lang w:val="lv-LV"/>
        </w:rPr>
        <w:t>3. Tiesiskās noteiktības nolūkā lūdzam sniegt skaidrojumu, vai atbilstoši noteikumu projekta 13. punktam rēķina eksemplārs ir izsniedzams pasažierim (vai pasažieris citādi informējams) par līgumsoda samaksu, ja rēķinu noformē elektroniski. Nepieciešamības gadījumā lūdzam precizēt noteikumu projektu.</w:t>
      </w:r>
    </w:p>
    <w:p w:rsidR="003F1044" w:rsidP="003F1044" w:rsidRDefault="003F1044" w14:paraId="1EC8391A" w14:textId="77777777">
      <w:pPr>
        <w:pStyle w:val="xmsonormal"/>
        <w:rPr>
          <w:lang w:val="lv-LV"/>
        </w:rPr>
      </w:pPr>
      <w:r>
        <w:rPr>
          <w:lang w:val="lv-LV"/>
        </w:rPr>
        <w:t>4. Lūdzam noteikumu projektā korekti paredzēt grozījumu, ar kuru  Ministru kabineta 2012. gada 28. augusta noteikumi Nr. 599 “Sabiedriskā transporta pakalpojumu sniegšanas un izmantošanas kārtība” (turpmāk – noteikumi Nr. 599) tiek papildināti ar 7. pielikumu. Kā arī, ņemot vērā, ka 7. pielikumam nav ievērojams apjoms, lūdzam atbilstoši juridiskās tehnikas prasībām neveidot atsevišķu noteikumu projekta pielikumu.</w:t>
      </w:r>
    </w:p>
    <w:p w:rsidR="003F1044" w:rsidP="003F1044" w:rsidRDefault="003F1044" w14:paraId="02435498" w14:textId="77777777">
      <w:pPr>
        <w:pStyle w:val="xmsonormal"/>
        <w:rPr>
          <w:lang w:val="lv-LV"/>
        </w:rPr>
      </w:pPr>
      <w:r>
        <w:rPr>
          <w:lang w:val="lv-LV"/>
        </w:rPr>
        <w:t xml:space="preserve">Tāpat līdzīgi noteikumu projektā korekti noformēt informatīvo atsauci uz direktīvām, papildinot to ar nosaukumu “Informatīva atsauce uz Eiropas Savienības direktīvām” atbilstoši Ministru kabineta </w:t>
      </w:r>
      <w:r>
        <w:rPr>
          <w:lang w:val="lv-LV"/>
        </w:rPr>
        <w:lastRenderedPageBreak/>
        <w:t>2009. gada 3. februāra noteikumu Nr. 108 “Normatīvo aktu projektu sagatavošanas noteikumi” 164. punktam.</w:t>
      </w:r>
    </w:p>
    <w:p w:rsidR="003F1044" w:rsidP="003F1044" w:rsidRDefault="003F1044" w14:paraId="6C10FCE5" w14:textId="77777777">
      <w:pPr>
        <w:pStyle w:val="xmsonormal"/>
        <w:rPr>
          <w:lang w:val="lv-LV"/>
        </w:rPr>
      </w:pPr>
      <w:r>
        <w:rPr>
          <w:lang w:val="lv-LV"/>
        </w:rPr>
        <w:t>5. Lūdzam precizēt noteikumu projekta 14. punktā iekļauto kļūdaino atsauci uz noteikumu 56.</w:t>
      </w:r>
      <w:r>
        <w:rPr>
          <w:vertAlign w:val="superscript"/>
          <w:lang w:val="lv-LV"/>
        </w:rPr>
        <w:t>1</w:t>
      </w:r>
      <w:r>
        <w:rPr>
          <w:lang w:val="lv-LV"/>
        </w:rPr>
        <w:t xml:space="preserve"> punktu, kas nav noteikumos Nr. 599 atrodami. Norādām, ka atbilstoši juridiskās tehnikas prasībām tiesību normai ir jābūt skaidrai, lai tās lietotājs un piemērotājs gūtu nepārprotamu priekšstatu par savām tiesībām un pienākumiem.</w:t>
      </w:r>
    </w:p>
    <w:p w:rsidR="003F1044" w:rsidP="003F1044" w:rsidRDefault="003F1044" w14:paraId="62C2C771" w14:textId="77777777">
      <w:pPr>
        <w:pStyle w:val="xmsonormal"/>
        <w:rPr>
          <w:lang w:val="lv-LV"/>
        </w:rPr>
      </w:pPr>
      <w:r>
        <w:rPr>
          <w:lang w:val="lv-LV"/>
        </w:rPr>
        <w:t>6. Lūdzam saskaņā ar instrukcijas Nr. 19 56. punktu precizēt noteikumu projekta anotācijas V sadaļas 1. tabulā ietverto informāciju attiecībā uz noteikumu projekta normām, ar kurām tiek pārņemtas (un nevis ieviestas) Eiropas Parlamenta un Padomes 2019.gada 20.jūnija Direktīvas 2019/1161, ar ko groza Direktīvu 2009/33/EK par “tīro” un energoefektīvo autotransporta līdzekļu izmantošanas veicināšanu (turpmāk – direktīva Nr. 2019/1161), prasības, jo tā ir acīmredzami neprecīza (vienības atspoguļotas nekorekti, grozītās direktīvas normas var tikt atspoguļotas iekavās, bet nevis norādītas kā grozošās direktīvas normas) un nepilnīga (nav skaidrs, kā ar noteikumu projektu tiek pārņemtas minētās direktīvas 1. panta 4. punkts, kas cita starpā paredz, ka šo direktīvu piemēro tikai tādiem līgumiem, par kuriem iepirkums izsludināts pēc 2021. gada 2. augusta vai, ja iepirkuma izsludināšana nav paredzēta, līgumslēdzēja iestāde vai līgumslēdzējs iepirkuma procedūru ir sācis pēc minētā datuma.</w:t>
      </w:r>
    </w:p>
    <w:p w:rsidR="003F1044" w:rsidP="003F1044" w:rsidRDefault="003F1044" w14:paraId="656A1A55" w14:textId="77777777">
      <w:pPr>
        <w:pStyle w:val="xmsonormal"/>
        <w:rPr>
          <w:lang w:val="lv-LV"/>
        </w:rPr>
      </w:pPr>
      <w:r>
        <w:rPr>
          <w:lang w:val="lv-LV"/>
        </w:rPr>
        <w:t>7. Ņemot vērā, ka direktīvas Nr. 2019/1161 1. panta 3. un 6. punkts paredz rīcības brīvību dalībvalstij, lūdzam papildināt noteikumu projekta anotācijas V sadaļas 1. tabulu, aizpildot (sniedzot pamatojumu) aili par dalībvalsts rīcības brīvības izmantošanu atbilstoši Ministru kabineta 2009.gada 15.decembra instrukcijas Nr.19 „Tiesību akta projekta sākotnējās ietekmes izvērtēšanas kārtība” 56.5. apakšpunktam.</w:t>
      </w:r>
    </w:p>
    <w:p w:rsidR="003F1044" w:rsidP="003F1044" w:rsidRDefault="003F1044" w14:paraId="32811861" w14:textId="77777777">
      <w:pPr>
        <w:pStyle w:val="xmsonormal"/>
        <w:rPr>
          <w:lang w:val="lv-LV"/>
        </w:rPr>
      </w:pPr>
      <w:r>
        <w:rPr>
          <w:lang w:val="lv-LV"/>
        </w:rPr>
        <w:t> </w:t>
      </w:r>
    </w:p>
    <w:p w:rsidR="003F1044" w:rsidP="003F1044" w:rsidRDefault="003F1044" w14:paraId="1D91117D" w14:textId="77777777">
      <w:pPr>
        <w:pStyle w:val="xmsonormal"/>
        <w:rPr>
          <w:lang w:val="lv-LV"/>
        </w:rPr>
      </w:pPr>
      <w:r>
        <w:rPr>
          <w:lang w:val="lv-LV"/>
        </w:rPr>
        <w:t>Vienlaikus izsakām šādus priekšlikumus:</w:t>
      </w:r>
    </w:p>
    <w:p w:rsidR="003F1044" w:rsidP="003F1044" w:rsidRDefault="003F1044" w14:paraId="6158B07D" w14:textId="77777777">
      <w:pPr>
        <w:pStyle w:val="xmsonormal"/>
        <w:rPr>
          <w:lang w:val="lv-LV"/>
        </w:rPr>
      </w:pPr>
      <w:r>
        <w:rPr>
          <w:lang w:val="lv-LV"/>
        </w:rPr>
        <w:t>1. Lūdzam novērst noteikumu projektā vairākas tehniskās kļūdas, piemēram, 1., 4. u.c. punktos.</w:t>
      </w:r>
    </w:p>
    <w:p w:rsidR="003F1044" w:rsidP="003F1044" w:rsidRDefault="003F1044" w14:paraId="2277A193" w14:textId="77777777">
      <w:pPr>
        <w:pStyle w:val="xmsonormal"/>
        <w:rPr>
          <w:lang w:val="lv-LV"/>
        </w:rPr>
      </w:pPr>
      <w:r>
        <w:rPr>
          <w:lang w:val="lv-LV"/>
        </w:rPr>
        <w:t>2. Lūdzam noteikumu projekta normas noformēt, ievērojot Ministru kabineta 2009. gada 3. februāra noteikumu Nr. 108 “Normatīvo aktu projektu sagatavošanas noteikumi” (turpmāk – noteikumi Nr. 108) prasības. Piemēram, lūdzam atbilstoši precizēt noteikumu projekta 6. punktu. Vēršam uzmanību, ka atbilstoši noteikumu Nr. 108 154. punktam ar grozījumiem svītro, nevis izslēdz Ministru kabineta noteikumu vienības. Tāpat lūdzam precizēt noteikumu projekta 8. punktu, papildinot noteikumus Nr. 599 atbilstoši noteikumu Nr. 108 146. punktam un svītrojot norādi “jauno”.</w:t>
      </w:r>
    </w:p>
    <w:p w:rsidR="003F1044" w:rsidP="003F1044" w:rsidRDefault="003F1044" w14:paraId="627E4909" w14:textId="77777777">
      <w:pPr>
        <w:pStyle w:val="xmsonormal"/>
        <w:rPr>
          <w:lang w:val="lv-LV"/>
        </w:rPr>
      </w:pPr>
      <w:r>
        <w:rPr>
          <w:lang w:val="lv-LV"/>
        </w:rPr>
        <w:t>3.Lūdzam noteikumu projekta 4. punktā izdarīt korektu atsauci uz šo noteikumu 7. pielikumu. Līdzīgā veidā lūdzam noteikumu projekta 11. un 14. punktā izdarīt atsauci uz šo noteikumu vienību.</w:t>
      </w:r>
    </w:p>
    <w:p w:rsidR="003F1044" w:rsidP="003F1044" w:rsidRDefault="003F1044" w14:paraId="21C4C6CC" w14:textId="77777777">
      <w:pPr>
        <w:pStyle w:val="xmsonormal"/>
        <w:rPr>
          <w:lang w:val="lv-LV"/>
        </w:rPr>
      </w:pPr>
      <w:r>
        <w:rPr>
          <w:lang w:val="lv-LV"/>
        </w:rPr>
        <w:t xml:space="preserve">4. Lūdzam noteikumu projektā korekti atrunāt pilnu </w:t>
      </w:r>
      <w:r>
        <w:rPr>
          <w:u w:val="single"/>
          <w:lang w:val="lv-LV"/>
        </w:rPr>
        <w:t>valsts sabiedrības ar ierobežotu atbildību</w:t>
      </w:r>
      <w:r>
        <w:rPr>
          <w:lang w:val="lv-LV"/>
        </w:rPr>
        <w:t xml:space="preserve"> "Autotransporta direkcija" firmu.</w:t>
      </w:r>
    </w:p>
    <w:p w:rsidR="003F1044" w:rsidP="003F1044" w:rsidRDefault="003F1044" w14:paraId="150B4280" w14:textId="77777777">
      <w:pPr>
        <w:pStyle w:val="xmsonormal"/>
        <w:rPr>
          <w:lang w:val="lv-LV"/>
        </w:rPr>
      </w:pPr>
      <w:r>
        <w:rPr>
          <w:lang w:val="lv-LV"/>
        </w:rPr>
        <w:t>5. Aicinām aizpildīt noteikumu projekta anotācijas kopsavilkumu saskaņā ar instrukcijas Nr. 19 5.</w:t>
      </w:r>
      <w:r>
        <w:rPr>
          <w:vertAlign w:val="superscript"/>
          <w:lang w:val="lv-LV"/>
        </w:rPr>
        <w:t>1</w:t>
      </w:r>
      <w:r>
        <w:rPr>
          <w:lang w:val="lv-LV"/>
        </w:rPr>
        <w:t xml:space="preserve"> punktu.</w:t>
      </w:r>
    </w:p>
    <w:p w:rsidR="003F1044" w:rsidP="003F1044" w:rsidRDefault="003F1044" w14:paraId="6C02D96D" w14:textId="77777777">
      <w:pPr>
        <w:pStyle w:val="xmsonormal"/>
        <w:rPr>
          <w:lang w:val="lv-LV"/>
        </w:rPr>
      </w:pPr>
      <w:r>
        <w:rPr>
          <w:lang w:val="lv-LV"/>
        </w:rPr>
        <w:t xml:space="preserve">6. Lūdzam likumprojektā atsauces uz Eiropas Savienības tiesību aktu – direktīvu noformēt, atsaucē uz direktīvu norādot šādu informāciju </w:t>
      </w:r>
      <w:r>
        <w:rPr>
          <w:u w:val="single"/>
          <w:lang w:val="lv-LV"/>
        </w:rPr>
        <w:t>attiecīgā secībā</w:t>
      </w:r>
      <w:r>
        <w:rPr>
          <w:lang w:val="lv-LV"/>
        </w:rPr>
        <w:t xml:space="preserve">: institūcija (Komisija, Padome, Eiropas Parlaments), kas izdevusi attiecīgo tiesību aktu; tiesību akta pieņemšanas datums; veids (direktīva); numurs un nosaukums atbilstoši tiesību akta nosaukumam latviešu valodā </w:t>
      </w:r>
      <w:r>
        <w:rPr>
          <w:i/>
          <w:iCs/>
          <w:lang w:val="lv-LV"/>
        </w:rPr>
        <w:t>EUR-</w:t>
      </w:r>
      <w:proofErr w:type="spellStart"/>
      <w:r>
        <w:rPr>
          <w:i/>
          <w:iCs/>
          <w:lang w:val="lv-LV"/>
        </w:rPr>
        <w:t>Lex</w:t>
      </w:r>
      <w:proofErr w:type="spellEnd"/>
      <w:r>
        <w:rPr>
          <w:lang w:val="lv-LV"/>
        </w:rPr>
        <w:t xml:space="preserve"> datu bāzē. Piemēram, Eiropas Parlamenta un Padomes </w:t>
      </w:r>
      <w:r>
        <w:rPr>
          <w:u w:val="single"/>
          <w:lang w:val="lv-LV"/>
        </w:rPr>
        <w:t>2019. gada 20. maija</w:t>
      </w:r>
      <w:r>
        <w:rPr>
          <w:lang w:val="lv-LV"/>
        </w:rPr>
        <w:t xml:space="preserve"> regula (ES) 2019/818, ar ko izveido satvaru ES informācijas sistēmu </w:t>
      </w:r>
      <w:proofErr w:type="spellStart"/>
      <w:r>
        <w:rPr>
          <w:lang w:val="lv-LV"/>
        </w:rPr>
        <w:t>sadarbspējai</w:t>
      </w:r>
      <w:proofErr w:type="spellEnd"/>
      <w:r>
        <w:rPr>
          <w:lang w:val="lv-LV"/>
        </w:rPr>
        <w:t xml:space="preserve"> policijas un tiesu iestāžu sadarbības, patvēruma un migrācijas jomā un groza Regulas (ES) 2018/1726, (ES) 2018/1862 un (ES) 2019/816.</w:t>
      </w:r>
    </w:p>
    <w:p w:rsidR="003F1044" w:rsidP="003F1044" w:rsidRDefault="003F1044" w14:paraId="445C1BE4" w14:textId="77777777">
      <w:pPr>
        <w:pStyle w:val="xmsonormal"/>
        <w:rPr>
          <w:lang w:val="lv-LV"/>
        </w:rPr>
      </w:pPr>
      <w:r>
        <w:rPr>
          <w:lang w:val="lv-LV"/>
        </w:rPr>
        <w:t> </w:t>
      </w:r>
    </w:p>
    <w:p w:rsidR="003F1044" w:rsidP="003F1044" w:rsidRDefault="003F1044" w14:paraId="1CA6C5E2" w14:textId="77777777">
      <w:pPr>
        <w:pStyle w:val="xmsonormal"/>
        <w:rPr>
          <w:lang w:val="lv-LV"/>
        </w:rPr>
      </w:pPr>
      <w:r>
        <w:rPr>
          <w:lang w:val="lv-LV"/>
        </w:rPr>
        <w:t> </w:t>
      </w:r>
    </w:p>
    <w:p w:rsidR="00CB4ACC" w:rsidP="003F1044" w:rsidRDefault="003F1044" w14:paraId="7FC24FD4" w14:textId="4B10AFFD">
      <w:r>
        <w:rPr>
          <w:noProof/>
          <w:lang w:val="lv-LV"/>
        </w:rPr>
        <w:lastRenderedPageBreak/>
        <w:drawing>
          <wp:inline distT="0" distB="0" distL="0" distR="0" wp14:anchorId="4BFD932D" wp14:editId="26F9752B">
            <wp:extent cx="5280660" cy="2697480"/>
            <wp:effectExtent l="0" t="0" r="15240" b="762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280660" cy="2697480"/>
                    </a:xfrm>
                    <a:prstGeom prst="rect">
                      <a:avLst/>
                    </a:prstGeom>
                    <a:noFill/>
                    <a:ln>
                      <a:noFill/>
                    </a:ln>
                  </pic:spPr>
                </pic:pic>
              </a:graphicData>
            </a:graphic>
          </wp:inline>
        </w:drawing>
      </w:r>
    </w:p>
    <w:sectPr w:rsidR="00CB4AC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22F2F" w14:textId="77777777" w:rsidR="00813777" w:rsidRDefault="00813777" w:rsidP="003F1044">
      <w:r>
        <w:separator/>
      </w:r>
    </w:p>
  </w:endnote>
  <w:endnote w:type="continuationSeparator" w:id="0">
    <w:p w14:paraId="46D88E0C" w14:textId="77777777" w:rsidR="00813777" w:rsidRDefault="00813777" w:rsidP="003F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1820" w14:textId="0658EAF0" w:rsidR="003F1044" w:rsidRPr="003F1044" w:rsidRDefault="003F1044">
    <w:pPr>
      <w:pStyle w:val="Footer"/>
      <w:rPr>
        <w:lang w:val="lv-LV"/>
      </w:rPr>
    </w:pPr>
    <w:r>
      <w:rPr>
        <w:lang w:val="lv-LV"/>
      </w:rPr>
      <w:t>TMatz_020821_599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37A44" w14:textId="77777777" w:rsidR="00813777" w:rsidRDefault="00813777" w:rsidP="003F1044">
      <w:r>
        <w:separator/>
      </w:r>
    </w:p>
  </w:footnote>
  <w:footnote w:type="continuationSeparator" w:id="0">
    <w:p w14:paraId="516E8731" w14:textId="77777777" w:rsidR="00813777" w:rsidRDefault="00813777" w:rsidP="003F1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44"/>
    <w:rsid w:val="003F1044"/>
    <w:rsid w:val="00813777"/>
    <w:rsid w:val="00CB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2F03B"/>
  <w15:chartTrackingRefBased/>
  <w15:docId w15:val="{ABBE569E-A248-4CCA-93C5-1AA79C23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04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1044"/>
    <w:rPr>
      <w:color w:val="0000FF"/>
      <w:u w:val="single"/>
    </w:rPr>
  </w:style>
  <w:style w:type="paragraph" w:customStyle="1" w:styleId="xmsonormal">
    <w:name w:val="x_msonormal"/>
    <w:basedOn w:val="Normal"/>
    <w:rsid w:val="003F1044"/>
  </w:style>
  <w:style w:type="paragraph" w:styleId="Header">
    <w:name w:val="header"/>
    <w:basedOn w:val="Normal"/>
    <w:link w:val="HeaderChar"/>
    <w:uiPriority w:val="99"/>
    <w:unhideWhenUsed/>
    <w:rsid w:val="003F1044"/>
    <w:pPr>
      <w:tabs>
        <w:tab w:val="center" w:pos="4680"/>
        <w:tab w:val="right" w:pos="9360"/>
      </w:tabs>
    </w:pPr>
  </w:style>
  <w:style w:type="character" w:customStyle="1" w:styleId="HeaderChar">
    <w:name w:val="Header Char"/>
    <w:basedOn w:val="DefaultParagraphFont"/>
    <w:link w:val="Header"/>
    <w:uiPriority w:val="99"/>
    <w:rsid w:val="003F1044"/>
    <w:rPr>
      <w:rFonts w:ascii="Calibri" w:hAnsi="Calibri" w:cs="Calibri"/>
    </w:rPr>
  </w:style>
  <w:style w:type="paragraph" w:styleId="Footer">
    <w:name w:val="footer"/>
    <w:basedOn w:val="Normal"/>
    <w:link w:val="FooterChar"/>
    <w:uiPriority w:val="99"/>
    <w:unhideWhenUsed/>
    <w:rsid w:val="003F1044"/>
    <w:pPr>
      <w:tabs>
        <w:tab w:val="center" w:pos="4680"/>
        <w:tab w:val="right" w:pos="9360"/>
      </w:tabs>
    </w:pPr>
  </w:style>
  <w:style w:type="character" w:customStyle="1" w:styleId="FooterChar">
    <w:name w:val="Footer Char"/>
    <w:basedOn w:val="DefaultParagraphFont"/>
    <w:link w:val="Footer"/>
    <w:uiPriority w:val="99"/>
    <w:rsid w:val="003F104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7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Ziedone@sa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atiksmes.ministrija@sa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esturs.Blumentals@tm.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cid:image002.png@01D7878A.07D95840" TargetMode="Externa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6392</Characters>
  <Application>Microsoft Office Word</Application>
  <DocSecurity>0</DocSecurity>
  <Lines>53</Lines>
  <Paragraphs>14</Paragraphs>
  <ScaleCrop>false</ScaleCrop>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2021-08-27T06:17:00Z</dcterms:created>
  <dcterms:modified xsi:type="dcterms:W3CDTF">2021-08-27T06:17:00Z</dcterms:modified>
</cp:coreProperties>
</file>