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Likumprojekta “Grozījumi likumā “Par interešu konflikta novēršanu valsts amatpersonu darbībā””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4. panta pirmās daļas 19.1 punktā un 2.3 daļā minētā amatpersona, kā arī likuma 1. panta 8. punkta “b” “c” un “d” apakšpunktos minētās kapitālsabiedrības padomes loceklis, papildus šā likuma 6. panta ceturtajā daļā noteiktajam var savienot valsts amatpersonas amatu tikai ar citu amatu, uzņēmuma līguma vai pilnvarojuma izpildi, ja šī savienošana nerada interešu konfliktu, nekaitē valsts amatpersonas tiešo pienākumu pildīšanai un ir saņemta tā publiskas personas kapitāla daļu turētāja pārstāvja rakstveida atļauja, kurš attiecīgo personu nominējis ievēlēšanai padomes locekļa amatā, vai tās valsts amatpersonas vai koleģiālās institūcijas rakstveida atļauja, kura attiecīgo personu iecēlusi, ievēlējusi vai apstiprinājusi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speciālos valsts amatpersonu amata savienošanas ierobežojumus tādas kapitālsabiedrības valdes loceklim, kurā vienas publiskas personas vai vairāku publisku personu kapitālsabiedrību daļa pamatkapitālā atsevišķi vai kopumā pārsniedz 50 procentus vai, kurā vienai publiskai personai vai vairākām publiskām personām ir cita veida izšķirošā ietekme atbilstoši Koncernu likumam, plānots noteikt likuma "Par interešu konflikta novēršanu valsts amatpersonu darbībā" 7.panta ceturtā daļā, tad attiecīgi ierosinām precizēt likumprojekta 4.pantu, svītrojot skaitļus un vārdus "pirmās daļas 19.</w:t>
            </w:r>
            <w:r w:rsidR="00000000" w:rsidRPr="00000000" w:rsidDel="00000000">
              <w:rPr>
                <w:vertAlign w:val="superscript"/>
                <w:rtl w:val="0"/>
              </w:rPr>
              <w:t xml:space="preserve">1</w:t>
            </w:r>
            <w:r w:rsidR="00000000" w:rsidRPr="00000000" w:rsidDel="00000000">
              <w:rPr>
                <w:rtl w:val="0"/>
              </w:rPr>
              <w:t xml:space="preserve"> punktā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6. pantā paredzēts jaunā redakcijā izteikt 8</w:t>
            </w:r>
            <w:r w:rsidR="00000000" w:rsidRPr="00000000" w:rsidDel="00000000">
              <w:rPr>
                <w:vertAlign w:val="superscript"/>
                <w:rtl w:val="0"/>
              </w:rPr>
              <w:t xml:space="preserve">1</w:t>
            </w:r>
            <w:r w:rsidR="00000000" w:rsidRPr="00000000" w:rsidDel="00000000">
              <w:rPr>
                <w:rtl w:val="0"/>
              </w:rPr>
              <w:t xml:space="preserve">. panta septīto daļu, lūdzam anotācijā iekļaut papildus skaidrojumu par šī regulējuma piemērošanu likuma "Par interešu konflikta novēršanu valsts amatpersonu darbībā" 1.panta 8.punkta b, c, d apakšpunktā norādītajās kapitālsabiedrību valdes un padomes locekļu amatu savienošanas atļauju izsniegšanas vai lēmuma par atteikumu izsniegt atļauju gadījumos, anotācijā izskaidrojot, kādā iestādē vai tiesā var apstrīdēt vai pārsūdzēt lēmumu atļaut savienot valsts amatpersonas amatu ar citu amatu vai lēmumu atteikt izsniegt atļaut savienot valsts amatpersonas amatu ar citu amatu iepriekšminēto kapitālsabiedrību gadījumā. Vēršam uzmanību, ka  atšķirībā no valsts pārvaldes iestādēm, saskaņā ar likumprojekta 3. panta 2. punktu, rakstveida atļauju izsniedz koleģiāla institūcija - attiecīgās kapitālsabiedrības dalībnieku sapulce ar dalībnieku sapulces protokolu par padomes locekļiem, vai, attiecīgi, padome ar padomes lēmumu par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attiecībā uz 6. pantu iekļaut skaidrojumu ir vai nav ierobežojumi savienot amatpersonas amatu ar neatalgotiem amatiem vai amatiem, kas nav valsts amatpersonas amati vai amati publiskas personas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24.04.2024.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24.04.2024.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