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Privātā un Riska kapitāla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Latvijas Bankas komentārus, priekšlikums ir mainīts veidā, kas sniedz papildus motivāciju veikt vietējos ieguldījumus un vienlaicīgi neveido komisiju kāpumu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Papilidnot 11.panta 5.1 daļas ievaddaļu un 1. punktu ar 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VFPL 11.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5.1 daļas ievaddaļu un 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Fondēto pensiju shēmas līdzekļu pārvaldītājam maksājumu par ieguldījumu plāna pārvaldi 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maksājuma pastāvīgā daļa, kas ietver maksājumus līdzekļu pārvaldītājam, līdzekļu turētājam, kā arī maksājumus trešajām personām, kurus veic no ieguldījumu plāna līdzekļiem, izņemot šīs daļas 3. punktā minētās darījuma izmaksas. Maksājuma pastāvīgā daļa nedrīkst pārsniegt vidējo svērto no šī punkta “a” un “b” apakšpunktā noteiktajiem ierobežojumiem katrai pārvaldītāja ieguldījumu plānu kopsummas daļai, kāda tā bija iepriekšējā gada 31. oktobrī,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ierobežojums par ieguldījumu plānu kopsummas daļu, kas nepārsniedz 100 miljonus euro, ir 0,6 procenti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katru nākamo pārvaldītāja ieguldījumu plānu kopsummas daļu ar soli 100 miljonu euro šā punkta "a" apakšpunktā minēto ierobežojumu secīgi samazina par 7,5 procentiem līdz tas sasniedz 0,2 procentus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 šī punkta “b” apakšpunktā noteiktos ierobežojumus nepiemēro par tiešajiem ieguldījumiem parāda un kapitāla vērtspapīros, kas ieguldīti MVU, un tādos alternatīvo ieguldījumu fondos (AIF), kuru parakstītais kapitāls nepārsniedz EUR 500 000 000 (AIF ieguldījumu īpatsvars tiek mērīts pēc parakstītā kapitāla).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Kalniņa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29.01.2025.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29.01.2025.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