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Kritiskās infrastruktūras apzināšanas, darbības nepārtrauktības, drošības un noturības pasākumu plānošanas, īstenošanas un incidentu paziņošanas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Valsts drošības iestādes un atbildīgā nozares ministrija izvērtē kritiskās infrastruktūras riska pašnovērtējumu un mēneša laikā informē kritiskās infrastruktūras īpašnieku vai tiesisko valdītāju par kritiskās infrastruktūras riska pašnovērtējuma atbilstību šajā apakšnodaļā noteiktajām prasībām vai par nepilnībām, kas jānovērš. Kritiskās infrastruktūras īpašnieks vai tiesiskais valdītājs mēneša laikā informē kompetentās iestādes par nepilnību novēršanu un iesniedz riska pašnovērtējumu atkārtotai apstiprināšanai.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iepriekš izteikto priekšlikumu, jo noteikumu projekta 28.punkts nav precizēts atbilstoši priekšlikumam (t.i., lai būtu nepārprotami skaidrs, kura institūcija ir atbildīga par A, B un C kategorijas kritiskās infrastruktūras riska pašnovērtējuma izvērtēšanu). Noteikumu projekta precizētā redakcija paredz, ka valsts drošības iestādes izvērtē A, B un C kategorijas kritiskās infrastruktūras riska pašnovērtējuma atbilstību (25.punkts) un attiecīgā nozares ministrija izvērtē D kategorijas kritiskās infrastruktūras riska pašnovērtējuma atbilstību (26.punkts).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riska pašnovērtējuma atbilstības izvērtēšana būtu jānodrošina valsts drošības iestādēm. Ja izvērtēšanu veiks gan valsts drošības iestādes, gan nozares ministrijas, pastāv risks, ka tiks piemērotas atšķirīgas pieejas. Savukārt, ja izvērtēšanu veiktu tikai valsts drošības iestādes, būtu iespējams nodrošināt vienotu informatīvu un metodoloģisku atbalstu (27.punkts).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Irmeja-Liepiņa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iepriekš izteikto priekšlikumu par 1.pielikuma 15.punkta (iepriekš – 16.punkts) iekļaušanu noteikumu projektā. Atkārtoti vēršam uzmanību, ka starpinstitūciju sadarbības neesamība noved pie atbalsta pasākuma  (1.pielikuma 15.3. apakšpunkts par fizisko apsardzi) iekļaušanas noteikumu projektā kā deklaratīvas normas. Valsts atbalstu (apsardzi) būs iespējams saņemt noteikumos paredzētajos gadījumos (ar Ministru kabineta lēmumu, atļauju). Lūdzam izvērtēt 1.pielikuma 15.punkta redakcijas precizēšanu atbilstoši noteikumu projekta 40., 41.punktam.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Irmeja-Liepiņa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05.01.2026. 12.45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05.01.2026. 12.45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Atzinumi_25-TA-1988.docx</dc:title>
</cp:coreProperties>
</file>

<file path=docProps/custom.xml><?xml version="1.0" encoding="utf-8"?>
<Properties xmlns="http://schemas.openxmlformats.org/officeDocument/2006/custom-properties" xmlns:vt="http://schemas.openxmlformats.org/officeDocument/2006/docPropsVTypes"/>
</file>