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4.2. prioritātes “Izglītība, prasmes un mūžizglītība”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4.2.1.7. pasākuma “Pirmsskolas izglītības iestāžu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 2021.–2027.gadam 4.2. prioritātes “Izglītība, prasmes un mūžizglītība”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4.2.1.7. pasākuma “Pirmsskolas izglītības iestāžu infrastruktūras attīstība”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nosaukumu, t.sk. norādot tajā SAM nosaukumu atbilstoši Programmās norādītajam. </w:t>
            </w:r>
            <w:r w:rsidR="00000000" w:rsidRPr="00000000" w:rsidDel="00000000">
              <w:rPr>
                <w:rtl w:val="0"/>
              </w:rPr>
              <w:t xml:space="preserve">Papildus aicinām precizēt noteikumu projekta nosaukumu, svītrojot norādi uz 4.2. prioritāti “Izglītība, prasmes un mūžizglītība</w:t>
            </w:r>
            <w:r w:rsidR="00000000" w:rsidRPr="00000000" w:rsidDel="00000000">
              <w:rPr>
                <w:rtl w:val="0"/>
              </w:rPr>
              <w:t xml:space="preserve">. Lūdzam veikt atbilstošus precizējumus arī noteikumu projekta 1.1. apakšpunktā un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w:t>
            </w:r>
            <w:r w:rsidR="00000000" w:rsidRPr="00000000" w:rsidDel="00000000">
              <w:rPr>
                <w:u w:val="single"/>
                <w:rtl w:val="0"/>
              </w:rPr>
              <w:t xml:space="preserve">s</w:t>
            </w:r>
            <w:r w:rsidR="00000000" w:rsidRPr="00000000" w:rsidDel="00000000">
              <w:rPr>
                <w:rtl w:val="0"/>
              </w:rPr>
              <w:t xml:space="preserve"> 2021.–2027.gadam 4.2.1. specifiskā atbalsta mērķa “Uzlabot vienlīdzīgu piekļuvi iekļaujošiem un kvalitatīviem pakalpojumiem izglītības, </w:t>
            </w:r>
            <w:r w:rsidR="00000000" w:rsidRPr="00000000" w:rsidDel="00000000">
              <w:rPr>
                <w:u w:val="single"/>
                <w:rtl w:val="0"/>
              </w:rPr>
              <w:t xml:space="preserve">mācību </w:t>
            </w:r>
            <w:r w:rsidR="00000000" w:rsidRPr="00000000" w:rsidDel="00000000">
              <w:rPr>
                <w:rtl w:val="0"/>
              </w:rPr>
              <w:t xml:space="preserve">un mūžizglītības jomā, attīstot pieejamu infrastruktūru, tostarp, veicinot noturību izglītošanā un </w:t>
            </w:r>
            <w:r w:rsidR="00000000" w:rsidRPr="00000000" w:rsidDel="00000000">
              <w:rPr>
                <w:u w:val="single"/>
                <w:rtl w:val="0"/>
              </w:rPr>
              <w:t xml:space="preserve">mācībās </w:t>
            </w:r>
            <w:r w:rsidR="00000000" w:rsidRPr="00000000" w:rsidDel="00000000">
              <w:rPr>
                <w:rtl w:val="0"/>
              </w:rPr>
              <w:t xml:space="preserve">attālinātā un tiešsaistes režīmā”  4.2.1.7. pasākuma “Pirmsskolas izglītības iestāžu infrastruktūras attīstība”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pasākumam pieejamo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ņemot vērā, ka tiek norādīts gan plānotais gan pieejamais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pasākumam plānoto un pieejamo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Pasākumu īsteno līdz 2029. gada 31. decembrim, sasniedzot šādus rādītājus: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rādītāju nosaukumus atbilstoši Programmā noteiktajam (iznākuma rādītājs - Jaunu vai modernizētu bērnu aprūpes (pirmsskolas) iestāžu mācību telpu ietilpība, rezultāta rādītājs - Jauno vai modernizēto bērnu aprūpes (pirmsskolas) iestāžu lietotāju skaits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norādīt rādītāju veidus atbilstoši saskaņošanā esošajām vadlīnijām "Vadlīnijas Ministru kabineta noteikumu par specifiskā        atbalsta mērķa īstenošanu izstrādei Eiropas Savienības fondu 2021.—2027. gada plānošanas periodā", kas paredz, ka Programmā plānoti rādītāji MK noteikumos norādāmi kā programmas iznākuma rādītāji un programmas rezultāta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izvērtēt nepieciešamību dzēst sasniedzamos starpposma rādītājus. Vēršam uzmanību, ka atbilstoši Programmā norādītajam iznākuma rādītāja starpposma vērtība jāsasniedz līdz 2024.gada 31.decembrim, kā arī 4.2.1.7. pasākumam nav plānoti norādītie starpposma rādītāji. Papildus vēršam uzmanību, ka KPVIS funkcionalitāte pasākuma līmenī paredz sagaidāmo vērtību ievadi atbilstoši Darbības programmā noteiktajiem termiņiem - t.i. 2024.gadā un 2029.gadā.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noteikumu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noteiktais rezultāta rādītājs ir sasniegts, kad finansējuma saņēmējs iesniedz sadarbības iestādē un sadarbības iestāde apstiprina pārskatu par rādītāju sasniegšanu. Rezultāta rādītāja vērtība ir attiecināma, ja tā radusies viena kalendāra gada laikā pēc projekta noslēguma maksājuma veikšanas, nepārsniedzot šo noteikumu </w:t>
            </w:r>
            <w:r w:rsidR="00000000" w:rsidRPr="00000000" w:rsidDel="00000000">
              <w:rPr>
                <w:rtl w:val="0"/>
              </w:rPr>
              <w:t xml:space="preserve">39. </w:t>
            </w:r>
            <w:r w:rsidR="00000000" w:rsidRPr="00000000" w:rsidDel="00000000">
              <w:rPr>
                <w:rtl w:val="0"/>
              </w:rPr>
              <w:t xml:space="preserve">punktā</w:t>
            </w:r>
            <w:r w:rsidR="00000000" w:rsidRPr="00000000" w:rsidDel="00000000">
              <w:rPr>
                <w:rtl w:val="0"/>
              </w:rPr>
              <w:t xml:space="preserve"> minēto termiņu. Ja finansējuma saņēmējs rezultāta rādītāja vērtību sasniedz, sadarbības iestāde turpmāko projekta rezultāta rādītāja izpildes kontroli neveic.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informāciju par rādītāju sasniegšanu plānots iesniegt sadarbības iestādē ar maksājuma pieprasījumu līdzīgi kā 2014. - 2020.g. plānošanas periodā, ierosinām "pārskatu par rādītāju sasniegšanu" precizēt uz "maksājuma pieprasījumu, kurā pamatota rādītāju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nepieciešams, var uzsvērt, ka tas ir domāts noslēguma maksājuma pieprasījums.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ietvaros plānotais kopējais attiecināmais finansējums ir ne mazāks kā 30 450 000 </w:t>
            </w:r>
            <w:r w:rsidR="00000000" w:rsidRPr="00000000" w:rsidDel="00000000">
              <w:rPr>
                <w:i w:val="1"/>
                <w:rtl w:val="0"/>
              </w:rPr>
              <w:t xml:space="preserve">euro</w:t>
            </w:r>
            <w:r w:rsidR="00000000" w:rsidRPr="00000000" w:rsidDel="00000000">
              <w:rPr>
                <w:rtl w:val="0"/>
              </w:rPr>
              <w:t xml:space="preserve">, tai skaitā Eiropas Reģionālās attīstības fonda finansējums 25 882 500 </w:t>
            </w:r>
            <w:r w:rsidR="00000000" w:rsidRPr="00000000" w:rsidDel="00000000">
              <w:rPr>
                <w:i w:val="1"/>
                <w:rtl w:val="0"/>
              </w:rPr>
              <w:t xml:space="preserve">euro</w:t>
            </w:r>
            <w:r w:rsidR="00000000" w:rsidRPr="00000000" w:rsidDel="00000000">
              <w:rPr>
                <w:rtl w:val="0"/>
              </w:rPr>
              <w:t xml:space="preserve"> (no tā elastības finansējums – 4 082 326 </w:t>
            </w:r>
            <w:r w:rsidR="00000000" w:rsidRPr="00000000" w:rsidDel="00000000">
              <w:rPr>
                <w:i w:val="1"/>
                <w:rtl w:val="0"/>
              </w:rPr>
              <w:t xml:space="preserve">euro</w:t>
            </w:r>
            <w:r w:rsidR="00000000" w:rsidRPr="00000000" w:rsidDel="00000000">
              <w:rPr>
                <w:rtl w:val="0"/>
              </w:rPr>
              <w:t xml:space="preserve">) un nacionālais finansējums (pašvaldību finansējums) – ne mazāks kā 4 567 500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finansējuma atspoguļošanai izmantot piemēru normu redakcijām par plānoto un pieejamo finansējumu no saskaņošanā esošajām </w:t>
            </w:r>
            <w:r w:rsidR="00000000" w:rsidRPr="00000000" w:rsidDel="00000000">
              <w:rPr>
                <w:i w:val="1"/>
                <w:rtl w:val="0"/>
              </w:rPr>
              <w:t xml:space="preserve">Vadlīnijām Ministru kabineta noteikumu par specifiska atbalsta mērķa īstenošanu izstrādei Eiropas Savienības fondu 2021.—2027. gada plānošanas periodā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ietvaros plānotais kopējais  finansējums ir XX euro (tai skaitā elastības finansējuma apjoms XX euro), tai skaitā ERAF finansējums XX euro (tai skaitā elastības finansējuma apjoms XX euro) un pašvaldības finansējums XX euro (tai skaitā elastības finansējuma apjoms XX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Projektu iesniegumos pasākuma īstenošanai kopējo pasākuma pieejamo finansējumu plāno ne vairāk kā XX euro apmērā, tai skaitā ERAF finansējumu – XX euro  apmērā, pašvaldības finansējumu – XX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Atbildīgā iestāde pēc Eiropas Komisijas lēmuma par vidusposma pārskatu var ierosināt palielināt pasākumam pieejamo kopējo finansējumu līdz šo noteikumu 12. punktā minētajam plānotajam kopējam finansējuma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Pasākumam pieejamais kopējais attiecināmais finansējums līdz 2025. gada 31. decembrim ir ne mazāks kā 25 647 264 </w:t>
            </w:r>
            <w:r w:rsidR="00000000" w:rsidRPr="00000000" w:rsidDel="00000000">
              <w:rPr>
                <w:i w:val="1"/>
                <w:rtl w:val="0"/>
              </w:rPr>
              <w:t xml:space="preserve">euro</w:t>
            </w:r>
            <w:r w:rsidR="00000000" w:rsidRPr="00000000" w:rsidDel="00000000">
              <w:rPr>
                <w:rtl w:val="0"/>
              </w:rPr>
              <w:t xml:space="preserve">, tai skaitā Eiropas Reģionālās attīstības fonda finansējums 21 800 174 </w:t>
            </w:r>
            <w:r w:rsidR="00000000" w:rsidRPr="00000000" w:rsidDel="00000000">
              <w:rPr>
                <w:i w:val="1"/>
                <w:rtl w:val="0"/>
              </w:rPr>
              <w:t xml:space="preserve">euro</w:t>
            </w:r>
            <w:r w:rsidR="00000000" w:rsidRPr="00000000" w:rsidDel="00000000">
              <w:rPr>
                <w:rtl w:val="0"/>
              </w:rPr>
              <w:t xml:space="preserve"> un pašvaldību finansējums ne mazāks kā 3 847 090 </w:t>
            </w:r>
            <w:r w:rsidR="00000000" w:rsidRPr="00000000" w:rsidDel="00000000">
              <w:rPr>
                <w:i w:val="1"/>
                <w:rtl w:val="0"/>
              </w:rPr>
              <w:t xml:space="preserve">euro</w:t>
            </w:r>
            <w:r w:rsidR="00000000" w:rsidRPr="00000000" w:rsidDel="00000000">
              <w:rPr>
                <w:rtl w:val="0"/>
              </w:rPr>
              <w:t xml:space="preserve">, paredzot šo noteikumu </w:t>
            </w:r>
            <w:r w:rsidR="00000000" w:rsidRPr="00000000" w:rsidDel="00000000">
              <w:rPr>
                <w:rtl w:val="0"/>
              </w:rPr>
              <w:t xml:space="preserve">9.1. </w:t>
            </w:r>
            <w:r w:rsidR="00000000" w:rsidRPr="00000000" w:rsidDel="00000000">
              <w:rPr>
                <w:rtl w:val="0"/>
              </w:rPr>
              <w:t xml:space="preserve">apakšpunktā</w:t>
            </w:r>
            <w:r w:rsidR="00000000" w:rsidRPr="00000000" w:rsidDel="00000000">
              <w:rPr>
                <w:rtl w:val="0"/>
              </w:rPr>
              <w:t xml:space="preserve"> minētā iznākuma rādītāja sasniegšanu līdz 2025. gada 31. decembrim. No 2026. gada 1. janvāra atbildīgā iestāde pēc Eiropas Komisijas lēmuma par snieguma satvara izpildi var ierosināt palielināt pieejamo attiecināmo finansējumu līdz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minētajam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elastības finansējuma pieejamība ir atkarīga no vidusposma izvērtējuma nevis rādītāju starpposma vērtību sasniegšanas, lūdzam precizēt 13. punkta otro teikumu un iekļaut to MKN kā atsevišķu punktu: "Atbildīgā iestāde pēc Eiropas Komisijas lēmuma par vidusposma pārskatu var ierosināt palielināt pasākumam pieejamo kopējo attiecināmo finansējumu līdz šo noteikumu 12. punktā minētajam plānotajam maksimālajam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minētās vienas pašvaldības viens vai vairāki projektu iesniedzēji īsteno projektus, kuru kopējais Eiropas Reģionālās attīstības fonda finansējums nepārsniedz 5 000 000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tiek saprasts ar "viens vai vairāki projektu iesniedzēji", ņemot vērā, ka atbilstoši noteikumu projekta 18.punktam projekta iesniedzējs ir pašvaldība vai tās dibināta iestāde, kā arī atbilstoši noteikumu projekta 19.punktam projekta iesniedzējs vienā projekta iesniegumā var iekļaut investīcijas vienā pašvaldības pirmsskolas izglītības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iesniedzējs ir pašvaldība vai tās izveidota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18. punktu, nosakot, ka pēc projekta apstiprināšanas projekta iesniedzējs uzskatāms par finansējuma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Pasākuma ietvaros atbalstu var saņemt pašvaldības, kurās uz projekta iesnieguma iesniegšanas brīdi - attiecīgā mācību gada 1.oktobrī - pirmsskolas vecuma bērnu skaits rindā uz pašvaldību pirmsskolas izglītības iestādēm ir lielāks par 100, un attiecīgās novada pašvaldības teritoriālā iedalījuma vienībā, kurā ir plānots īstenot projektu, pirmsskolas vecuma bērnu skaits rindā uz vietu pašvaldību pirmsskolas izglītības iestādēs (atbilstoši Vides aizsardzības un reģionālās attīstības ministrijas  tīmekļvietnē vai citā tīmekļvietnē norādītajiem datiem, kas publicēti saskaņā ar  aktuālo normatīvo regulējumu par informācijas publicēšanu par pirmsskolas vecuma bērnu skaitu pašvaldībās):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24.punktu atbilstoši projektu iesniegumu vērtēšanas kritērijiem, norādot, ka noteikumu projekta 24.punktā minētie nosacījumi attiecas arī uz pašvaldībām, kuras 2029. gadā ir plānots apvienot saskaņā ar Administratīvo teritoriju un apdzīvoto vietu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Projekta tiešās attiecināmās izmaksas, kas sekmē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mērķa un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noteikto rādītāju sasniegšanu,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vienkāršoto izmaksu iespējami plašāku piemērošanu arī citām izmaksu pozīcijām. Ja piemērot vienkāršotās izmaksas papildus jau paredzētajam nav iespējams, lūdzam sniegt argumentētu pamatojumu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projekta vadības personāla atlīdzības izmaksas, kas radušās uz darba līguma vai uzņēmuma (pakalpojuma) līguma pamata, tai skaitā valsts sociālās apdrošināšanas obligātās iemaksas no apliekamajām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apvienot MK noteikumu projekta 27.1. apakšpunktu un 30.punktu izsakot tos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personāla atlīdzības izmaksas, kuras saskaņā ar Komisijas regulas Nr. 2021/1060 55.panta 1.punktu plāno kā vienu izmaksu pozīciju, piemērojot vienoto izmaksu likmi 20 procentu apmērā no šo noteikumu 27. punktā minētajām tiešajām attiecināmajām izmaksām, izņemot šo noteikumu 27.1. apakšpunktā minētās tiešās attiecināmās projekta vadības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likmes apmērs ir jāsaskaņo ar vadošo iestādi, kā arī likmes apmēra pamatojums ir jānorāda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lūdzam anotācijā sniegt informāciju, vai izmaksas ir skaidri nodalāmas un nepastāv izmaksu un funkciju pārklāšanās ar likmē iekļaujamām izmaksām un izmaksām, kas tiks attiecinātas kā faktiskās par citām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27.7. virszemes un pazemes komunikāciju infrastruktūras pārbūve, nepalielinot tās apkalpes jaudu raksturojošos tehniskos parametrus, ja, veicot projektā plānotās ēku attīstības vai teritorijas labiekārtošanas darbības saskaņā ar sertificēta būvinženiera ekspertīzes atzinumā norādīto, pastāv sabiedriskā pakalpojuma sniegšanai nepieciešamās infrastruktūras bojāšanas risks vai nav iespējams izvairīties no virszemes vai pazemes komunikāciju infrastruktūras pārbūves vietās, kurās nav papildu pieprasījuma pēc sabiedriskajiem pakalpojumiem, elektroapgādes pakalpojumiem, kā arī, nodrošinot, ka investīcijas nerada priekšrocības inženiertīklu īpašniekam un atbilst nosacījumiem par valsts atbalstu komercdarbībai;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aktivitātes ietvaros komercdarbības atbalsta sniegšana paredzēta netiek, lūdzam anotācijā skaidrot, kas/kādi nosacījumi tiek saprasti ar MK noteikumu projekta  27.7. apakšpunktā norādīto, ka investīcijas atbilst nosacījumiem par valsts atbalstu komercdarbībai. Nepieciešamības gadījumā aicinām precizēt noteikumu projekta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 ar projekta darbībām tieši saistīto informācijas un publicitātes pasākumu izmaksas, kas veiktas saskaņā ar normatīvajiem aktiem par kārtību, kādā Eiropas Savienības fondu ieviešanā 2021.–2027. gada plānošanas periodā nodrošināma komunikācijas un vizuālās identitātes prasību ievērošana.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27.11. apakšpunktu, svītrojot norādi uz normatīvajiem aktiem par kārtību, kādā Eiropas Savienības fondu ieviešanā 2021.–2027. gada plānošanas periodā nodrošināma komunikācijas un vizuālās identitātes prasību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noteikumu projekta 40. punktā ietverto finansējuma saņēmēja pienākumu uzskaitījumu ar apakšpunktu, ka finansējuma saņēmējs nodrošina informācijas un publicitātes pasākumus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pantu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Neparedzētie izdevumi nepārsniedz piecus procentus no projekta kopējām attiecināmajām tiešajām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saskaņā ar Vadošās iestādes vadlīniju Nr.1.2. "Vadlīnijas attiecināmo izmaksu noteikšanai Eiropas Savienības kohēzijas politikas programmas 2021.-2027.gada plānošanas periodā" 12.2.apakšpunktu katrā specifiskajā atbalsta mērķī (turpmāk-SAM) minētais procentuālais apmērs ir jāizvērtē individuāli, atkarībā no tā, cik apjomīgus un sarežģītus projektus paredzēts īstenot attiecīgajā SAM, taču tas kopumā nedrīkst pārsniegt 5 % no kopējo tiešo attiecināmo izmaksu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ar to lūdzam anotācijā iekļaut pamatojumu, kāpēc konkrētajā SAM nosaka procentuālo neparedzēto izdevumu tieši tādā apmērā, nepieciešamības gadījumā to pārvērtējot.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Šo noteikumu </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un </w:t>
            </w:r>
            <w:r w:rsidR="00000000" w:rsidRPr="00000000" w:rsidDel="00000000">
              <w:rPr>
                <w:rtl w:val="0"/>
              </w:rPr>
              <w:t xml:space="preserve">33.</w:t>
            </w:r>
            <w:r w:rsidR="00000000" w:rsidRPr="00000000" w:rsidDel="00000000">
              <w:rPr>
                <w:rtl w:val="0"/>
              </w:rPr>
              <w:t xml:space="preserve"> punktā minētās izmaksas ir attiecināmas, ja ar saimniecisko darbību nesaistīta projekta infrastruktūrā vai infrastruktūras daļā, kurā netiek veikta saimnieciskā darbība, tiek sniegti parastie papildpakalpojumi, kas kopumā nepārsniedz 20 procentus no infrastruktūras kopējās gada jaudas (platības, laika vai finanšu izteiksmē) vai infrastruktūras daļas, kurā netiek veikta saimnieciskā darbība, gada jaudas (platības, laika vai finanšu izteiksmē).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nav skaidrs, kādēļ 34.punktā ietvertais nosacījums par izmaksu attiecināmību sasaistits ar papildakalpojumu proporciju ar saimniecisko darbību nesaistītā projektā. Ja MK noteikumu autora mērķis ir norādīt, ka aktivitātes ietvaros tiek atbalstīti tikai ar saimniecisko darbību nesaistīti projekti un skaidrot, ka šo projektu ietvaros radītajā infrastruktūrā ir  pieļaujama papildpakalpojumu sniegšana noteiktā proporcijā, lūdzam to nepārprotami norādīt atsevišķā punktā. Vienlaikus vēršam Jūsu uzmanību, ka Eiropas Komisijas paziņojuma Par Līguma par Eiropas Savienības darbību 107. panta 1. punktā minēto valsts atbalsta jēdzienu (2016/C 262/01) 207.punktā attiecībā uz papildpakalpojumiem nav noteikts ierobežojums to apmērā un, ja tāds tiek šajā programmā noteikts, aicinām anotācijā skaidrot, kāpēc paredzētas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 uzkrāj datus par projekta ietekmi uz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minētajiem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un nepārprotami norādīt, kādi dati </w:t>
            </w:r>
            <w:r w:rsidR="00000000" w:rsidRPr="00000000" w:rsidDel="00000000">
              <w:rPr>
                <w:b w:val="1"/>
                <w:rtl w:val="0"/>
              </w:rPr>
              <w:t xml:space="preserve">par projekta ietekmi</w:t>
            </w:r>
            <w:r w:rsidR="00000000" w:rsidRPr="00000000" w:rsidDel="00000000">
              <w:rPr>
                <w:b w:val="1"/>
                <w:rtl w:val="0"/>
              </w:rPr>
              <w:t xml:space="preserve"> </w:t>
            </w:r>
            <w:r w:rsidR="00000000" w:rsidRPr="00000000" w:rsidDel="00000000">
              <w:rPr>
                <w:rtl w:val="0"/>
              </w:rPr>
              <w:t xml:space="preserve">uz PII telpu ietilpību un PII lietotāju skaitu ir  jāuzkrāj finansējuma saņēmējam. No 40.1.apakšpunkta redakcijas un anotācijas šobrīd nav viennozīmīgi izprotams kādi dati ir jāuzkrāj finansējuma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Priedīte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 uzkrāj datus par projekta ietek­mi uz horizontālo principu rādītājie­m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un nepārprotami norādīt kādi dati finansējuma saņēmējam ir jāuzkrāj un jāiesniedz sadarbības iestādei par horizontālajiem principiem "klimatdrošināšana", "energoefektivitāte pirmajā vietā" un "nenodarīt būtisku kaitējumu". Anotācijā ir iekļauti vispārēji nosacījumi, lai tiktu ievēroti minētie horizontālie principi, bet nav nodefinēti uzkrājamie dati vai norāde uz vadlīnijām, kur ir skaidri nodefinēti sasniedzamie rādītāji un uzkrājamie dati, ņemot vērā pasākuma specifiku. Vēršam uzmanību, ka datu uzkrāšanai par horizontālo principu ievērošanu ir nepieciešams nodrošināt arī KPVIS funkcionalitāti, kur ir nepieciešami precīzi dati, kas būs jāievada finansējuma saņēmējam.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Priedīte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Sadarbības iestāde, ja tai ir pieejami valsts budžeta līdzekļi, pamatojoties uz finansējuma saņēmēja rakstisku avansa pieprasījumu un izvērtējot plānotā avansa apmēru, tā pamatojumu un spēju to izlietot sešu mēnešu laikā saimnieciskā gada ietvaros (projekta iesniedzējam ir pabeigts būvdarbu iepirkums vai noslēgts būvdarbu līgums), var piešķirt finansējuma saņēmējam avansu līdz 30 procentiem no projektam piešķirtā Eiropas Reģionālās attīstības fonda finansējuma pēc vienošanās par projekta īstenošanu noslēgšanas.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saskaņošanas procesā esošajā Ministru kabineta noteikumu projektā "Valsts budžeta līdzekļu plānošanas kārtība Eiropas Savienības fondu projektu īstenošanai un maksājumu veikšanai 2021.-2027.gada plānošanas periodā" (22-TA-1623) noteikto un pēc analoģijas ar Ministru kabineta 2015. gada 17. marta noteikumos Nr. 130 "Noteikumi par valsts budžeta līdzekļu plānošanu Eiropas Savienības struktūrfondu un Kohēzijas fonda projektu īstenošanai un maksājumu veikšanu 2014.–2020.gada plānošanas periodā" noteikto, lūdzam papildināt noteikumu projektu, norādot avansa un starpposma maksājumu kopsummu.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Šo noteikumu izpratnē par parastajiem papildpakalpojumiem uzskata ēdināšanas pakalpojumu sniegšanu pamata infrastruktūrā nodarbinātajiem (piemēram, darbiniekiem un audzēkņiem).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MK noteikumu projekta lietotājiem nodrošinātu nepārprotamu izpratni par normā ietverto nosacījumu būtību, lūdzam norādīt, kas tiek saprasts ar terminu "pamata infrastruktūra". Vēršam uzmanību, ka citur MK noteikumu projektā šis termins lietots nav, kā arī nav ietverts tā skaidrojums. Aicinām precizēt MK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Ja ar saimniecisku darbību nesaistīts projekts vai projekts, kas saistīts ar tādu saimniecisko darbību, kurai sniegtais atbalsts nav kvalificējams kā komercdarbības atbalsts, ieviešanas gaitā vai projekta dzīves ciklā (infrastruktūras amortizācijas periodā) kļūst par projektu, kas saistīts ar saimniecisku darbību, kurai sniegtais atbalsts būtu kvalificējams kā komercdarbības atbalsts, finansējuma saņēmējs no finansējuma, kura avots nav publiskie līdzekļi, atmaksā sadarbības iestādei visu nelikumīgi saņemto atbalstu kopā ar procentiem saskaņā ar Komercdarbības atbalsta kontroles likuma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47.punktā noteikto, ka aktivitātes ietvaros publiskais finansējums tiek ieguldīts ar saimniecisko darbību nesaistītos infrastruktūras projektos, kuros līdztekus ar saimniecisko darbību nesaistītajam izmantojumam pieļaujama parasto papildpakalpojumu sniegšana, kā arī to, ka Eiropas Komisija savā  Paziņojumā Par Līguma par Eiropas Savienības darbību 107. panta 1. punktā minēto valsts atbalsta jēdzienu (2016/C 262/01) (skat. 207.punktu) nav izvirzījusi nekādus nosacījumus parasto papildpakalpojumu procentuālajam apjomam infrastruktūrās, kuras izmanto galvenokārt tikai nesaimnieciskajai darbībai, nav skaidrs, kas šīs aktivitātes ietvaros tiks vērtēts kā nelikumīgs komercdarbības atbalsts. Nepārprotamas izpratnes nodrošināšanai par normas būtību, lūdzam ietvert atbilstošu skaidrojumu anotācijā. Lūdzam arī pārskatīt punkta redakciju no tāda aspekta, ka teksts "</w:t>
            </w:r>
            <w:r w:rsidR="00000000" w:rsidRPr="00000000" w:rsidDel="00000000">
              <w:rPr>
                <w:i w:val="1"/>
                <w:rtl w:val="0"/>
              </w:rPr>
              <w:t xml:space="preserve">projekts, kas saistīts ar tādu saimniecisko darbību, kurai sniegtais atbalsts nav kvalificējams kā komercdarbības atbalsts, ieviešanas gaitā vai projekta dzīves ciklā (infrastruktūras amortizācijas periodā) kļūst par projektu, kas saistīts ar saimniecisku darbību, kurai sniegtais atbalsts būtu kvalificējams kā komercdarbības atbalsts</w:t>
            </w:r>
            <w:r w:rsidR="00000000" w:rsidRPr="00000000" w:rsidDel="00000000">
              <w:rPr>
                <w:rtl w:val="0"/>
              </w:rPr>
              <w:t xml:space="preserve">" pieļauj, ka jau sākotnēji tiek sniegts atbalsts saimnieciskās darbības projektam, attiecībā uz kuru neizpildās, piemēram, KAKL 5.pantā minētā 4.pazīmē, kas ir pretrunā MK noteikumu mērķi – sniegt atbalstu nesaimnieciskajai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Ja ar saimniecisku darbību nesaistīts projekts vai projekts, kas saistīts ar tādu saimniecisko darbību, kurai sniegtais atbalsts nav kvalificējams kā komercdarbības atbalsts, ieviešanas gaitā vai projekta dzīves ciklā (infrastruktūras amortizācijas periodā) kļūst par projektu, kas saistīts ar saimniecisku darbību, kurai sniegtais atbalsts būtu kvalificējams kā komercdarbības atbalsts, finansējuma saņēmējs no finansējuma, kura avots nav publiskie līdzekļi, atmaksā sadarbības iestādei visu nelikumīgi saņemto atbalstu kopā ar procentiem saskaņā ar Komercdarbības atbalsta kontroles likuma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MK noteikumu 49.punktā noteikto, lūdzam anotācijā ietvert skaidrojumu kā tiks nodrošināta šo nosacījumu ievērošana projekta ieviešanas gaitā vai projekta dzīves ciklā (infrastruktūras amortizācijas periodā), tai skaitā, kādā termiņā atbildīgā iestāde izstrādās uzraudzības metodiku.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intervences kodiem un finansējuma sadalījumu starp 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finansējuma saņēmējam paredzēta iespēja saņemt avansu, lūdzam papildināt anotācijas sadaļu "Projekta īstenošanas nosacījumi" ar piešķiramā avansa maksimālā apjoma pamatojumu.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anotācijas 1.3.sadaļā norādīts, ka infrastruktūras amortizācijas periods piemērojams atkarībā no projekta ieguldījuma jomas un saskaņā ar Regulas (ES) Nr.480/2014 I pielikumu citas nozares projekta pārskata periods jeb dzīves cikls ir noteikts 10 – 15 gadi, lai nodrošinātu nepārprotamu izpratni, kādā periodā atbildīgā iestāde plāno noteikt projektu uzraudzības veikšanu, aicinām norādīt konkrētu uzraudzības periodu, nevis interpretējamu laika intervālu.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7.punktā sniegto informāciju, norādot kāda VARAM pieejamā finansējuma ietvaros paredzēts piesaistīt personālu uz darba līguma pamata vai ārpakalpojuma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norādīt, vai plānotajām investīcijām būs tieša, netieša, vai nebūs ietekmes uz horizontālajiem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iesniedzēja finansējums ir ne mazāks kā 15 procenti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15. punktu atbilstoši 14. punktā noteiktajam. Papildus lūdzam izvērtēt šī punkta lietderību ņemot vērā, ka informācija par pieejamo ERAF finansējuma apmēru sniegta MK noteikumu 14.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 finansējums ir ne mazāks kā 15 procenti no projekta kopējām attiecināmajām izmaksām un ne mazāks par 25 procentiem, ja projekta iesniedzējs ir Rīgas plānošanas reģiona pašvaldība vai tās izveidota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Iļjinska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prognozi par pirmsskolas vecuma bērnu skaitu turpmākajos piecos gados novada teritoriālo vienību vai valstspilsētu noteikto teritoriālo iedalījumu griezumā, kas pamato projekta ilgtspēju, tai skaitā, izvērtējot un analizējot citus risinājumus pirmsskolas pieejamības veicināšanai.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redakcionāli precizēt "pirmsskolas pieejamības veicināšanu" - ir domāti pirmsskolas izglītības pakalpojumu vai pirmsskolas izglītības iestāžu peejamība?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iesniedzējs izvērtē iespēju pašvaldības saistošajos noteikumos paredzēt priekšrocības uzņemšanai pašvaldības pirmsskolas izglītības iestādē pirmsskolas vecuma bērniem no sociāli un ekonomiski mazaizsargātajām personu grupām.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21. punktā konkretizēt vai pašvaldības saistošajos noteikumos jāparedz priekšrocības uzņemšanai pašvaldības pirmsskolas izglītības iestādē pirmsskolas vecuma bērniem no sociāli un ekonomiski mazaizsargātajām personu grupām un papildināt ar informāciju, ka šādu priekšrocību iekļaušana paaugstina projekta iesnieguma vērtējumu projektu iesniegumu atlases posmā.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Iļjinska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Atbalstāmo darbību un izmaksu attiecināmības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papildināt ar jaunu punktu, kas uzskaita pasākuma ietvaros atļautos izmaksu veidus.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Atbalstāmo darbību un izmaksu attiecināmības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finansējuma saņēmējam ir viennozīmīgi saprotami personāla atlīdzības izmaksu nosacījumi, rosinām papildināt ar jaunu punktu, nosakot personāla izmaksu attiecināmības nosacījumus atbilstoši Vadošās iestādes izstrādātajām vadlīnijām Nr.1.2. "Vadlīnijas attiecināmo izmaksu noteikšanai Eiropas Savienības kohēzijas politikas programmas 2021.-2027.gada plānošanas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projekta vadības personāla atlīdzības izmaksas, kas radušās uz darba līguma vai uzņēmuma (pakalpojuma) līguma pamata, tai skaitā valsts sociālās apdrošināšanas obligātās iemaksas no apliekamajām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ka projekta vadības izmaksas tiek izmaksātas vienkāršoti izmaksu kārtībā, piemēram, kā vienas vienības konstanta summa visam projektam.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Iļjinska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projekta iesnieguma pamatojošās dokumentācijas sagatavošanas izmaksas (izņemot projekta iesnieguma veidlapas aizpildīšanas izmaksas), nepārsniedzot septiņus procentus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nosacījums attiecībā uz projekta pamatojošās dokumentācijas sagatavošanas izmaksām tiek izpildīts saskaņā ar Vadošās iestādes vadlīniju Nr.1.2. "Vadlīnijas attiecināmo izmaksu noteikšanai Eiropas Savienības kohēzijas politikas programmas 2021.-2027.gada plānošanas periodā" 10.2.apakšpunktā noteikto. Attiecīgi minēto Vadlīniju 10.2.apakšpunktā noteikts šādi: "Projekta iesnieguma pamatojošās dokumentācijas sagatavošanas izmaksas, būvuzraudzības, autoruzraudzības, būvprojekta tehniskā projekta vai skiču projekta stadijā izmaksas, energosertifikācijas un energoaudita izmaksas kopā ir attiecināmas līdz 10% no projekta kopējām attiecināmajām izmaksām, ja tas ir noteikts MK noteikumos par SAM īstenošanu (t.sk. veicot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27.8. atjaunojamos energoresursus izmantojošu enerģiju ražojošu avotu iegāde un uzstādīšana, ievērojot, ka saražotā enerģija 100 procentu apmērā tiek izmantota pašpatēriņam;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šādu attiecināmo izmaksu iekļaušanu MK noteikumos, ņemot vērā, ka tās nav tieši saistītas ar pasākuma mērķa sasniegšanu un šāda veida izmaksām ir paredzētas citas ES fondu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Iļjinska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Maksimālais Eiropas Reģionālās attīstības fonda finansējums vienas jaunas vietas izveidei pašvaldības pirmsskolas izglītības iestādē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ņemot vērā noteikto maksimālo ERAF finansējuma apmēru vienas jaunas vietas izveidei un 16.punktā minēto nosacījumu, ka projekta minimālais kopējo attiecināmo izmaksu apmērs nav mazāks par 200 000 EUR - vai tas nozīmē, ka viena projekta ietvaros, lai kopējais attiecināmo izmaksu apmērs pārsniegtu 200 000 EUR, ir jāparedz (aptuveni) ne mazāk kā 8 jaunu vietu izbūvi/ pārbūvi?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Neparedzētie izdevumi nepārsniedz piecus procentus no projekta kopējām attiecināmajām tiešajām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32. punktu, nosakot, ka neparedzētos izdevumus veic, lai nodrošinātu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Neparedzētie izdevumi nepārsniedz piecus procentus no projekta kopējām attiecināmajām tiešajām izmaksām, </w:t>
            </w:r>
            <w:r w:rsidR="00000000" w:rsidRPr="00000000" w:rsidDel="00000000">
              <w:rPr>
                <w:u w:val="single"/>
                <w:rtl w:val="0"/>
              </w:rPr>
              <w:t xml:space="preserve">un tos veic, lai nodrošinātu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Neparedzētie izdevumi nepārsniedz piecus procentus no projekta kopējām attiecināmajām tiešajām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vārdu secību: kopējām tiešajām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Pievienotās vērtības nodokļa maksājumi, kas tiešā veidā saistīti ar projektu, ir attiecināmās izmaksas, ja tos nevar atgūt atbilstoši normatīvajiem aktiem par pievienotās vērtības nodokli.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Vadlīniju Nr.1.2. "Vadlīnijas attiecināmo izmaksu noteikšanai Eiropas Savienības kohēzijas politikas programmas 2021.-2027.gada plānošanas periodā" 19.1.apakšpunktā noteikto, proti, ka saskaņā ar Kopīgo noteikumu regulas 64.panta 1.punkta c) apakšpunktu pievienotais vērtības nodoklis (turpmāk- PVN) ir attiecināms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Projektiem, kuru kopējās izmaksas ir mazākas par 5 milj. EUR (ieskaitot PVN). Savukārt gadījumos, kad finansējuma saņēmējs ir valsts atbalsta (t.sk. de minimis) saņēmējs PVN tiešajām attiecināmajām izmaksām var tikt attiecināms tikai tādā gadījumā, ja tas nav atgūstams atbilstoši normatīvajiem aktiem nodokļu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Projektiem, kuru kopējās izmaksas ir vismaz 5 milj. EUR (ieskaitot PVN), ja tas nav atgūstams saskaņā ar attiecīgās valsts tiesību aktiem PVN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Gala saņēmēju veiktas investīcijas Finanšu instrumentu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aicinām izvērtēt, vai 33.punkta redakcija nebūtu precizējama, piemēram, šādi: Pievienotās vērtības nodokļa maksājumi, kas tiešā veidā saistīti ar projektu, uzskatāmi par attiecināmām izmaksām saskaņā ar Regulas Nr.2021/1060 64.panta 1.punkta c)apakšpunktā ietvertajiem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Finansējuma saņēmējs ne retāk kā reizi trijos mēnešos savā tīmekļvietnē ievieto aktuālo informāciju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aktuālās informācijas par projekta īstenošanu ievietošanu Finansējuma saņēmēja tīmekļvietnē, nepieciešams paredzēt tik bieži.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Finansējuma saņēmējs nodrošina līdzekļus projekta ietvaros attīstītās infrastruktūras uzturēšanai vismaz piecus gadus pēc projekta noslēguma maksājuma veikšanas finansējuma saņēmējam. Finansējuma saņēmējs izvērtē alternatīvas uzturēšanas izmaksu samazināšanai vai kompensēšanai.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kāds mērķis ir MK noteikumu punktā ietvertajam nosacījumam par alternatīvu izvērtēšanu uzturēšanas izmaksu samazināšanai vai kompensēšanai, norādot, kur šī informācija ir iekļaujama, kā vērtējama un uzraugāma projekta īstenošanas laikā/pēc-uzraudzībā.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Iļjinska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mērķis ir veicināt pašvaldību pirmsskolas izglītības pakalpojumu pieejamību, radot vienlīdzīgas iespējas vecākiem pilnvērtīgi iesaistīties darba tirgū un apmācībās, rosinām papildināt ar vecākiem, kuri audzina pirmsskolas vecuma bērnus.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3.sadaļas punktu “Cita informācija” ar informāciju, ka finansējums projektu īstenošanai attiecībā uz ERAF līdzfinansējuma nodrošināšanu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jau iestājies 2023.gads, aicinām anotācijas 3.sadaļā kā kārtējo gadu norādīt 2023.gadu.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par attiecīgās nozares/ jomas pārstāvošu biedrību, nodibinājumu, nevalstisko organizāciju iesaisti MK noteikumu projekta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22-TA-3540</w:t>
    </w:r>
    <w:r>
      <w:br/>
    </w:r>
    <w:r w:rsidR="00000000" w:rsidRPr="00000000" w:rsidDel="00000000">
      <w:rPr>
        <w:rtl w:val="0"/>
      </w:rPr>
      <w:t xml:space="preserve">Izdrukāts 31.01.2023. 11.57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22-TA-3540</w:t>
    </w:r>
    <w:r>
      <w:br/>
    </w:r>
    <w:r w:rsidR="00000000" w:rsidRPr="00000000" w:rsidDel="00000000">
      <w:rPr>
        <w:rtl w:val="0"/>
      </w:rPr>
      <w:t xml:space="preserve">Izdrukāts 31.01.2023. 11.57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Atzinumi_22-TA-3540.docx</dc:title>
</cp:coreProperties>
</file>

<file path=docProps/custom.xml><?xml version="1.0" encoding="utf-8"?>
<Properties xmlns="http://schemas.openxmlformats.org/officeDocument/2006/custom-properties" xmlns:vt="http://schemas.openxmlformats.org/officeDocument/2006/docPropsVTypes"/>
</file>