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(Atbilstības Satversmes tiesas 2024. gada 8. aprīļa spriedumam lietā Nr. 2023-01-03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Pasaules dabas fonds uztur visus iebildumus un priekšlikumus, kas sniegti 2025.gada 20.jūnijā</w:t>
            </w:r>
            <w:r w:rsidR="00000000" w:rsidRPr="00000000" w:rsidDel="00000000">
              <w:rPr>
                <w:rtl w:val="0"/>
              </w:rPr>
              <w:t xml:space="preserve"> un par kuriem nav panākta vienošanās arī starpinstitūciju sanāksmē. </w:t>
            </w:r>
            <w:r w:rsidR="00000000" w:rsidRPr="00000000" w:rsidDel="00000000">
              <w:rPr>
                <w:b w:val="1"/>
                <w:rtl w:val="0"/>
              </w:rPr>
              <w:t xml:space="preserve">Iebilstam pret kailcirtes pieļaujamās platības palielināšanu</w:t>
            </w:r>
            <w:r w:rsidR="00000000" w:rsidRPr="00000000" w:rsidDel="00000000">
              <w:rPr>
                <w:rtl w:val="0"/>
              </w:rPr>
              <w:t xml:space="preserve">, kas gan vietas līmenī, gan ainavas līmenī palielinās videi nedraudzīgas prakses - kailcirtes pielietojumu, ko Izziņas dokumentā uzsver arī Zemkopības ministrija. Ja nepieciešams mazināt administrativo slogu šīs normas izpildē un pastāv arguments par inventarizācijas datu subjektīvu interpretāciju, tad priekšlikums noteikt vienādu kailcirtes maksimāli pieļaujamo platību visos meža tipos 2ha. </w:t>
            </w:r>
            <w:r w:rsidR="00000000" w:rsidRPr="00000000" w:rsidDel="00000000">
              <w:rPr>
                <w:b w:val="1"/>
                <w:rtl w:val="0"/>
              </w:rPr>
              <w:t xml:space="preserve">Kategoriski iebilstam pret izlases cirtes prakses izmaiņam normatīvo aktu grozījumos - līdz 0,5ha atvēruma iespējamības noteikšanai</w:t>
            </w:r>
            <w:r w:rsidR="00000000" w:rsidRPr="00000000" w:rsidDel="00000000">
              <w:rPr>
                <w:rtl w:val="0"/>
              </w:rPr>
              <w:t xml:space="preserve">. Šāda norma degradē izlases cirtes pielietojumu pēc nodoma - dažādās mežaudzēs iekšējās attīstības dinamikas uzturēšana konkrētās teritorijās. Šādas prakses īstenošana būtu pārāk intensīva un nevar tikt uzskatīta par savietojumu ar bioloģiskās daudzveidības uzturēšanu teritorijās ar bioloģiskās daudzveidības prioritāru mērķi. Norma nemazina administratīvo slogu normatīvo aktu uzraudzībā un īstenošanā. EK rekomendētie 0,2ha - 0,5ha ir vispārēja rekomendācija un var neatbilst pielietojumam dažādos meža tipos Latvijā. </w:t>
            </w:r>
            <w:r w:rsidR="00000000" w:rsidRPr="00000000" w:rsidDel="00000000">
              <w:rPr>
                <w:b w:val="1"/>
                <w:rtl w:val="0"/>
              </w:rPr>
              <w:t xml:space="preserve">Uzturam iebildumus pret grozījumiem spēkā esošās redakcijas 34.punktā.</w:t>
            </w:r>
            <w:r w:rsidR="00000000" w:rsidRPr="00000000" w:rsidDel="00000000">
              <w:rPr>
                <w:rtl w:val="0"/>
              </w:rPr>
              <w:t xml:space="preserve"> Izprotot, ka neproduktīvās audzes ciršana juridiski nav kailcirtes pielietojums, tomēr izpilde un būtiska negatīvā ietekme uz meža ekosistēmu atbilst kailcirtes īstenošanai un tamdēļ svarīgi saglabāt spēkā esošo regulējumu par neproduktīvo mežaudžu nociršanu atbilstoši kailcirtes maksimālās platības ierobežojumiem un kailcirtes cirsmu izvietošanas nosacījumu ievērošanu. </w:t>
            </w:r>
            <w:r w:rsidR="00000000" w:rsidRPr="00000000" w:rsidDel="00000000">
              <w:rPr>
                <w:b w:val="1"/>
                <w:rtl w:val="0"/>
              </w:rPr>
              <w:t xml:space="preserve">Uzturēts iepriekšējais iebildums saistība ar 36.4. punkta redakciju. </w:t>
            </w:r>
            <w:r w:rsidR="00000000" w:rsidRPr="00000000" w:rsidDel="00000000">
              <w:rPr>
                <w:rtl w:val="0"/>
              </w:rPr>
              <w:t xml:space="preserve">Piedāvātā bojājuma platums  &gt;3cm ir nesamērīgs pret iepriekšējo nosacījumu. Piedāvātais &gt;3cm bojājuma platums ir nebūtisks pret, piemēram, 20cm un lielāka caurmēra kokiem, radot iespēju nepamatoti intensificēt ciršanu un attīstot paviršu attieksmi pret individuāla koka augstspējas novērtējumu. </w:t>
            </w:r>
            <w:r w:rsidR="00000000" w:rsidRPr="00000000" w:rsidDel="00000000">
              <w:rPr>
                <w:b w:val="1"/>
                <w:rtl w:val="0"/>
              </w:rPr>
              <w:t xml:space="preserve">Uzturam priekšlikumus par dabas aizsardzības prasību pastiprināšanu (ekoloģisko koku skaita un atmirušās koksnes īpatsvara palielināšanu)</w:t>
            </w:r>
            <w:r w:rsidR="00000000" w:rsidRPr="00000000" w:rsidDel="00000000">
              <w:rPr>
                <w:rtl w:val="0"/>
              </w:rPr>
              <w:t xml:space="preserve">, kas neprasa papildu administratīvo slogu tiesiskā regulējuma uzraudzībā un īstenošanā. Sniegto priekšlikumu iekļaušana tiesiskā regulējumā būtu būtisks ieguldījums negatīvās ietekmes uz dabu mazināšanā cērtot kokus, īpaši uzsverot, kailcirtes pielietojumā, kā videi nedraudzīgā praksē, bet dominējošā koksnes ieguves veidā galvenā cirtē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Rozītis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24.07.2025. 23.49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24.07.2025. 23.49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