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vai vienošanās par projekta īstenošanu noslēgšanu būs nepieciešamas veikt grozījumus, kā arī, vai izstrādātie grozījumi nav uzskatāmi par būtiskiem, tas ir tādi, kas ietekmē darbības veidu, mērķus vai īstenošanas nosacījumus, tādējādi traucējot tās sākotnējo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 (Jekaterina Kapilova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norādītā  2.2.3.3. pasākuma “Pasākumi bioloģiskās daudzveidības veicināšanai un saglabāšanai” (turpmāk – 2.2.3.3.pasākums) trešās un ceturtās atlases kārtas intervences koda 078 “Natura 2000 teritoriju aizsardzība, atjaunošana un ilgtspējīga izmantošana” finansējuma dalījumu pa 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 noteikumu projektu paredzētajiem grozījumiem finansējums 2.2.3.3. pasākumam tiek samazināts un tas jau ir pārdalīts uz 2.2.3.2. pasākumu “Vides izglītību veicinoši pasākumi sabiedrības informētībai un prasmju attīstībai” (turpmāk– 2.2.3.2.pasākums), lūdzam anotācijas 3.sadaļas punktā “Cita informācija” svītrot pirmās rindkopas otro teikumu par finansējuma pieprasīšanu no 80.00.00 programmas, jo attiecīgā informācija ir saistoša 2.2.3.2. pasākumam, kas arī bija norādīta minētā pasākuma noteikumu grozījumu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4.sadaļu “Tiesību akta projekta ietekme uz spēkā esošo tiesību normu sistēmu” ar informāciju par saistītajiem grozījumiem Ministru kabineta 2024. gada 9. jūlija  noteikumos Nr.449 “Eiropas Savienības kohēzijas politikas programmas 2021.–2027.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  pārdalot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 (Jekaterina Kapilova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Atzīt par aktualitāti zaudējušu Ministru kabineta 2025. gada 22. jūlija sēdes protokollēmuma (prot. Nr. 29/43§) 4. un 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kāpēc aktualitāti zaudē Ministru kabineta 2025. gada 22. jūlija sēdes protokollēmuma (prot. Nr. 29/43§) 4. un 5.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 (Jekaterina Kapilova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Tiešās attiecināmās izmaksas ietver šādas izmaksu pozīcijas šo noteikumu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noteikto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MK noteikumos iekļauto izmaksu procentuālo ierobežojumu viennozīmīgu un saprotamu interpretāciju un piemērošanu visām iesaistītajām pusēm, lūdzam izvērtēt nepieciešamību papildināt 36.punkta apakšpunktos (izņemot 36.12.apakšpunktu) un 39. punktu ar nosacījumu, ka procentuālais ierobežojums tiek aprēķināts attiecībā pret </w:t>
            </w:r>
            <w:r w:rsidR="00000000" w:rsidRPr="00000000" w:rsidDel="00000000">
              <w:rPr>
                <w:b w:val="1"/>
                <w:rtl w:val="0"/>
              </w:rPr>
              <w:t xml:space="preserve">plānotajām</w:t>
            </w:r>
            <w:r w:rsidR="00000000" w:rsidRPr="00000000" w:rsidDel="00000000">
              <w:rPr>
                <w:rtl w:val="0"/>
              </w:rPr>
              <w:t xml:space="preserve"> projekta tiešajām attiecināmajām izmaksām un iekļaut anotācijā skaidrojumu: "</w:t>
            </w:r>
            <w:r w:rsidR="00000000" w:rsidRPr="00000000" w:rsidDel="00000000">
              <w:rPr>
                <w:i w:val="1"/>
                <w:rtl w:val="0"/>
              </w:rPr>
              <w:t xml:space="preserve">Lai nodrošinātu MK noteikumos iekļauto izmaksu procentuālo ierobežojumu viennozīmīgu un saprotamu interpretāciju un piemērošanu visām iesaistītajām pusēm, projektu apstiprinot, procentuālais ierobežojums tiek aprēķināts attiecībā pret projekta plānotajām izmaksām, taču projekta noslēguma budžeta kopsavilkums ir jākoriģē atbilstoši faktiskajai situācijai. Projekta īstenošanas periodā projekta budžeta izmaksu pozīcijas absolūtos skaitļos nesamazina gadījumā, ja projekta īstenošanas laikā rodas ietaupījums, bet projekta mērķi un rādītāji tiek sasniegti, kā arī, ja ticis piemērots līgumsods vai tiek konstatētas neatbilstoši veiktas izmaksas, kas nav saistītas ar procentuāli ierobežoto budžeta izmaksu pozīciju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16.03.2026.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16.03.2026.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Atzinumi_26-TA-107.docx</dc:title>
</cp:coreProperties>
</file>

<file path=docProps/custom.xml><?xml version="1.0" encoding="utf-8"?>
<Properties xmlns="http://schemas.openxmlformats.org/officeDocument/2006/custom-properties" xmlns:vt="http://schemas.openxmlformats.org/officeDocument/2006/docPropsVTypes"/>
</file>