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 Eiropas Komisijas 2024.gada 13.martā elektroniski saņemtos komentārus par 1.2.1.2.i. investīcijas 2. pasākuma "Inovatīvu produktu un tehnoloģiju izstrāde" īstenošanas noteikumiem  (adresēti arī Ekonomikas ministrijai) un veikt nepieciešamos precizējumus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(Sanda Blumberga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Atbalstu projekta iesniedzējam nepiešķir Komisijas regulas Nr. </w:t>
            </w:r>
            <w:r w:rsidR="00000000" w:rsidRPr="00000000" w:rsidDel="00000000">
              <w:rPr>
                <w:rtl w:val="0"/>
              </w:rPr>
              <w:t xml:space="preserve">​</w:t>
            </w:r>
            <w:r w:rsidR="00000000" w:rsidRPr="00000000" w:rsidDel="00000000">
              <w:rPr>
                <w:rtl w:val="0"/>
              </w:rPr>
              <w:t xml:space="preserve">2023/2831 1. panta 1. punktā noteiktajām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1.panta 1.punktā ir noteiktas ne tikai nozares, bet arī darbības, kurām nepiešķir atbalstu saskaņā ar Komisijas regulu Nr.2023/2831, lūdzam precizēt noteikumu 45.punktu,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projekta iesniedzējam nepiešķir Komisijas regulas Nr.2023/2831 1.panta 1.punktā noteiktajām nozarēm un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Komercdarbības atbalstu drīkst piešķirt tikai tad, ja atbalstāmās darbības un ar to īstenošanu saistītās finanšu plūsmas tiek skaidri nodalītas no citu darbības nozaru darbībām un finanšu plūsmām, nodrošinot, ka darbības neatbalstāmajās nozarēs negūst labumu no komercdarbības atbalsta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noteikumu projekta viennozīmīgi būtu skaidrs atbalsta saņēmēja pienākums nodrošināt atbalstāmo nozaru darbību un finanšu plūsmu nodalīšanu no neatbalstāmajām nozarēm, lūdzam noteikumu 48.punkta ievaddaļu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atbalstu drīkst piešķirt tikai tad, ja tiek skaidri nodalītas darbības un finanšu plūsmas atbalstāmās nozarēs, nodrošinot, ka darbības neatbalstāmajās nozarēs negūst labumu no pasākuma ietvaros piešķirtā atbalsta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13.03.2024.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13.03.2024.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