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24-TA-781: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mediju politikas pamatnostādnes 2024.–2027. 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07.08.2024.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07.08.2024.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