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Konkursa ietvaros pieļaujamā atbalsta intensitāte nepārsniedz 90 % no šo noteikumu </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8.4.</w:t>
            </w:r>
            <w:r w:rsidR="00000000" w:rsidRPr="00000000" w:rsidDel="00000000">
              <w:rPr>
                <w:rtl w:val="0"/>
              </w:rPr>
              <w:t xml:space="preserve"> un </w:t>
            </w:r>
            <w:r w:rsidR="00000000" w:rsidRPr="00000000" w:rsidDel="00000000">
              <w:rPr>
                <w:rtl w:val="0"/>
              </w:rPr>
              <w:t xml:space="preserve">8.5. </w:t>
            </w:r>
            <w:r w:rsidR="00000000" w:rsidRPr="00000000" w:rsidDel="00000000">
              <w:rPr>
                <w:rtl w:val="0"/>
              </w:rPr>
              <w:t xml:space="preserve">apakšpunktā</w:t>
            </w:r>
            <w:r w:rsidR="00000000" w:rsidRPr="00000000" w:rsidDel="00000000">
              <w:rPr>
                <w:rtl w:val="0"/>
              </w:rPr>
              <w:t xml:space="preserve"> minētā transportlīdzekļa pārdošanas cenas, nepārsniedzot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noteikto maksimālo atbalsta apmēru.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saskaņos noteikumu 19 punktu , ja   pašreizējais atbalsta apjoms tiek noteikts  kā pārejas risinājums, ņemot vērā publiskā finansējuma ierobežojumus un nepieciešamību nodrošināt izmaksu efektivitāti. Vienlaikus LPS uzsver, ka ilgtermiņā būs nepieciešams izvērtēt atbalsta griestu atbilstību faktiskajām transportlīdzekļu iegādes izmaksām un tirgus attīstībai, lai nodrošinātu pietiekamu stimulu emisiju samazināšanai visā valsts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Aino Salmiņš (LPS) (Andra Feldmane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14.04.2026. 19.51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14.04.2026. 19.51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Atzinumi_25-TA-2646.docx</dc:title>
</cp:coreProperties>
</file>

<file path=docProps/custom.xml><?xml version="1.0" encoding="utf-8"?>
<Properties xmlns="http://schemas.openxmlformats.org/officeDocument/2006/custom-properties" xmlns:vt="http://schemas.openxmlformats.org/officeDocument/2006/docPropsVTypes"/>
</file>