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metodikas apraksts)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2 480 000 euro apmērā, tai skaitā Eiropas Reģionālās attīstības fonda finansējumu  2 108 000 euro apmērā un valsts budžeta finansējumu 372 000 euro apmērā, un iekļaut 1.3.1.1. pasākuma “IKT risinājumu un pakalpojumu attīstība un iespēju radīšana privātajam sektoram”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dokumentā [..] 1.3.1.1. pasākuma "IKT risinājumu un pakalpojumu attīstība un iespēju radīšana privātajam sektoram" projekta “Eiropas Jūras vienloga sistēmas EMSWe ieviešana” </w:t>
            </w:r>
            <w:r w:rsidR="00000000" w:rsidRPr="00000000" w:rsidDel="00000000">
              <w:rPr>
                <w:u w:val="single"/>
                <w:rtl w:val="0"/>
              </w:rPr>
              <w:t xml:space="preserve">izmaksu un ieguvumu aprēķina metodikas aprakstā</w:t>
            </w:r>
            <w:r w:rsidR="00000000" w:rsidRPr="00000000" w:rsidDel="00000000">
              <w:rPr>
                <w:rtl w:val="0"/>
              </w:rPr>
              <w:t xml:space="preserve"> norādīts sagatavošanas datums - 2025. gada 13. decembris. Lūdzu precizēt un norādīt aktuālo.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24.02.2025.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24.02.2025.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