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CDEA8" w14:textId="77777777" w:rsidR="00DC69D8" w:rsidRDefault="00DC69D8" w:rsidP="00DC69D8">
      <w:pPr>
        <w:rPr>
          <w:rFonts w:eastAsia="Times New Roman"/>
        </w:rPr>
      </w:pPr>
      <w:r>
        <w:rPr>
          <w:rFonts w:eastAsia="Times New Roman"/>
          <w:b/>
          <w:bCs/>
        </w:rPr>
        <w:t>From:</w:t>
      </w:r>
      <w:r>
        <w:rPr>
          <w:rFonts w:eastAsia="Times New Roman"/>
        </w:rPr>
        <w:t xml:space="preserve"> Viesturs Blūmentāls &lt;Viesturs.Blumentals@tm.gov.lv&gt; </w:t>
      </w:r>
      <w:r>
        <w:rPr>
          <w:rFonts w:eastAsia="Times New Roman"/>
        </w:rPr>
        <w:br/>
      </w:r>
      <w:r>
        <w:rPr>
          <w:rFonts w:eastAsia="Times New Roman"/>
          <w:b/>
          <w:bCs/>
        </w:rPr>
        <w:t>Sent:</w:t>
      </w:r>
      <w:r>
        <w:rPr>
          <w:rFonts w:eastAsia="Times New Roman"/>
        </w:rPr>
        <w:t xml:space="preserve"> </w:t>
      </w:r>
      <w:proofErr w:type="spellStart"/>
      <w:r>
        <w:rPr>
          <w:rFonts w:eastAsia="Times New Roman"/>
        </w:rPr>
        <w:t>ceturtdiena</w:t>
      </w:r>
      <w:proofErr w:type="spellEnd"/>
      <w:r>
        <w:rPr>
          <w:rFonts w:eastAsia="Times New Roman"/>
        </w:rPr>
        <w:t xml:space="preserve">, 2021. </w:t>
      </w:r>
      <w:proofErr w:type="spellStart"/>
      <w:r>
        <w:rPr>
          <w:rFonts w:eastAsia="Times New Roman"/>
        </w:rPr>
        <w:t>gada</w:t>
      </w:r>
      <w:proofErr w:type="spellEnd"/>
      <w:r>
        <w:rPr>
          <w:rFonts w:eastAsia="Times New Roman"/>
        </w:rPr>
        <w:t xml:space="preserve"> 5. </w:t>
      </w:r>
      <w:proofErr w:type="spellStart"/>
      <w:r>
        <w:rPr>
          <w:rFonts w:eastAsia="Times New Roman"/>
        </w:rPr>
        <w:t>augusts</w:t>
      </w:r>
      <w:proofErr w:type="spellEnd"/>
      <w:r>
        <w:rPr>
          <w:rFonts w:eastAsia="Times New Roman"/>
        </w:rPr>
        <w:t xml:space="preserve"> 16:52</w:t>
      </w:r>
      <w:r>
        <w:rPr>
          <w:rFonts w:eastAsia="Times New Roman"/>
        </w:rPr>
        <w:br/>
      </w:r>
      <w:r>
        <w:rPr>
          <w:rFonts w:eastAsia="Times New Roman"/>
          <w:b/>
          <w:bCs/>
        </w:rPr>
        <w:t>To:</w:t>
      </w:r>
      <w:r>
        <w:rPr>
          <w:rFonts w:eastAsia="Times New Roman"/>
        </w:rPr>
        <w:t xml:space="preserve"> </w:t>
      </w:r>
      <w:proofErr w:type="spellStart"/>
      <w:r>
        <w:rPr>
          <w:rFonts w:eastAsia="Times New Roman"/>
        </w:rPr>
        <w:t>Satiksmes</w:t>
      </w:r>
      <w:proofErr w:type="spellEnd"/>
      <w:r>
        <w:rPr>
          <w:rFonts w:eastAsia="Times New Roman"/>
        </w:rPr>
        <w:t xml:space="preserve"> ministrija &lt;satiksmes.ministrija@sam.gov.lv&gt;</w:t>
      </w:r>
      <w:r>
        <w:rPr>
          <w:rFonts w:eastAsia="Times New Roman"/>
        </w:rPr>
        <w:br/>
      </w:r>
      <w:r>
        <w:rPr>
          <w:rFonts w:eastAsia="Times New Roman"/>
          <w:b/>
          <w:bCs/>
        </w:rPr>
        <w:t>Cc:</w:t>
      </w:r>
      <w:r>
        <w:rPr>
          <w:rFonts w:eastAsia="Times New Roman"/>
        </w:rPr>
        <w:t xml:space="preserve"> Jūlija Undīne Dindune &lt;JulijaUndine.Dindune@sam.gov.lv&gt;; Arnis </w:t>
      </w:r>
      <w:proofErr w:type="spellStart"/>
      <w:r>
        <w:rPr>
          <w:rFonts w:eastAsia="Times New Roman"/>
        </w:rPr>
        <w:t>Slesars</w:t>
      </w:r>
      <w:proofErr w:type="spellEnd"/>
      <w:r>
        <w:rPr>
          <w:rFonts w:eastAsia="Times New Roman"/>
        </w:rPr>
        <w:t xml:space="preserve"> &lt;Arnis.Slesars@tm.gov.lv&gt;; Ieva Žeimunde &lt;Ieva.Zeimunde@dvi.gov.lv&gt;; </w:t>
      </w:r>
      <w:proofErr w:type="spellStart"/>
      <w:r>
        <w:rPr>
          <w:rFonts w:eastAsia="Times New Roman"/>
        </w:rPr>
        <w:t>Elīna</w:t>
      </w:r>
      <w:proofErr w:type="spellEnd"/>
      <w:r>
        <w:rPr>
          <w:rFonts w:eastAsia="Times New Roman"/>
        </w:rPr>
        <w:t xml:space="preserve"> </w:t>
      </w:r>
      <w:proofErr w:type="spellStart"/>
      <w:r>
        <w:rPr>
          <w:rFonts w:eastAsia="Times New Roman"/>
        </w:rPr>
        <w:t>Zivtiņa</w:t>
      </w:r>
      <w:proofErr w:type="spellEnd"/>
      <w:r>
        <w:rPr>
          <w:rFonts w:eastAsia="Times New Roman"/>
        </w:rPr>
        <w:t xml:space="preserve"> &lt;Elina.Zivtina@tm.gov.lv&gt;</w:t>
      </w:r>
      <w:r>
        <w:rPr>
          <w:rFonts w:eastAsia="Times New Roman"/>
        </w:rPr>
        <w:br/>
      </w:r>
      <w:r>
        <w:rPr>
          <w:rFonts w:eastAsia="Times New Roman"/>
          <w:b/>
          <w:bCs/>
        </w:rPr>
        <w:t>Subject:</w:t>
      </w:r>
      <w:r>
        <w:rPr>
          <w:rFonts w:eastAsia="Times New Roman"/>
        </w:rPr>
        <w:t xml:space="preserve"> Par </w:t>
      </w:r>
      <w:proofErr w:type="spellStart"/>
      <w:r>
        <w:rPr>
          <w:rFonts w:eastAsia="Times New Roman"/>
        </w:rPr>
        <w:t>precizēto</w:t>
      </w:r>
      <w:proofErr w:type="spellEnd"/>
      <w:r>
        <w:rPr>
          <w:rFonts w:eastAsia="Times New Roman"/>
        </w:rPr>
        <w:t xml:space="preserve"> </w:t>
      </w:r>
      <w:proofErr w:type="spellStart"/>
      <w:r>
        <w:rPr>
          <w:rFonts w:eastAsia="Times New Roman"/>
        </w:rPr>
        <w:t>likumprojektu</w:t>
      </w:r>
      <w:proofErr w:type="spellEnd"/>
      <w:r>
        <w:rPr>
          <w:rFonts w:eastAsia="Times New Roman"/>
        </w:rPr>
        <w:t xml:space="preserve"> “</w:t>
      </w:r>
      <w:proofErr w:type="spellStart"/>
      <w:r>
        <w:rPr>
          <w:rFonts w:eastAsia="Times New Roman"/>
        </w:rPr>
        <w:t>Elektronisko</w:t>
      </w:r>
      <w:proofErr w:type="spellEnd"/>
      <w:r>
        <w:rPr>
          <w:rFonts w:eastAsia="Times New Roman"/>
        </w:rPr>
        <w:t xml:space="preserve"> </w:t>
      </w:r>
      <w:proofErr w:type="spellStart"/>
      <w:r>
        <w:rPr>
          <w:rFonts w:eastAsia="Times New Roman"/>
        </w:rPr>
        <w:t>sakaru</w:t>
      </w:r>
      <w:proofErr w:type="spellEnd"/>
      <w:r>
        <w:rPr>
          <w:rFonts w:eastAsia="Times New Roman"/>
        </w:rPr>
        <w:t xml:space="preserve"> </w:t>
      </w:r>
      <w:proofErr w:type="spellStart"/>
      <w:r>
        <w:rPr>
          <w:rFonts w:eastAsia="Times New Roman"/>
        </w:rPr>
        <w:t>likums</w:t>
      </w:r>
      <w:proofErr w:type="spellEnd"/>
      <w:r>
        <w:rPr>
          <w:rFonts w:eastAsia="Times New Roman"/>
        </w:rPr>
        <w:t xml:space="preserve">” </w:t>
      </w:r>
    </w:p>
    <w:p w14:paraId="4F06C54C" w14:textId="77777777" w:rsidR="00DC69D8" w:rsidRDefault="00DC69D8" w:rsidP="00DC69D8"/>
    <w:p w14:paraId="51CBCE99" w14:textId="77777777" w:rsidR="00DC69D8" w:rsidRDefault="00DC69D8" w:rsidP="00DC69D8">
      <w:pPr>
        <w:rPr>
          <w:lang w:val="lv-LV"/>
        </w:rPr>
      </w:pPr>
      <w:r>
        <w:rPr>
          <w:lang w:val="lv-LV"/>
        </w:rPr>
        <w:t>Labdien,</w:t>
      </w:r>
    </w:p>
    <w:p w14:paraId="12C1A332" w14:textId="77777777" w:rsidR="00DC69D8" w:rsidRDefault="00DC69D8" w:rsidP="00DC69D8">
      <w:pPr>
        <w:rPr>
          <w:lang w:val="lv-LV"/>
        </w:rPr>
      </w:pPr>
    </w:p>
    <w:p w14:paraId="299E5FF3" w14:textId="77777777" w:rsidR="00DC69D8" w:rsidRDefault="00DC69D8" w:rsidP="00DC69D8">
      <w:pPr>
        <w:rPr>
          <w:lang w:val="lv-LV"/>
        </w:rPr>
      </w:pPr>
      <w:r>
        <w:rPr>
          <w:lang w:val="lv-LV"/>
        </w:rPr>
        <w:t>Tieslietu ministrija ir izskatījusi Satiksmes ministrijas izstrādāto precizēto likumprojektu “Elektronisko sakaru likums” (turpmāk – likumprojekts) un tā anotāciju un atbalsta to tālāku virzību, izsakot šādus iebildumus:</w:t>
      </w:r>
    </w:p>
    <w:p w14:paraId="3BD3BC41" w14:textId="77777777" w:rsidR="00DC69D8" w:rsidRDefault="00DC69D8" w:rsidP="00DC69D8">
      <w:pPr>
        <w:rPr>
          <w:lang w:val="lv-LV"/>
        </w:rPr>
      </w:pPr>
      <w:r>
        <w:rPr>
          <w:lang w:val="lv-LV"/>
        </w:rPr>
        <w:t xml:space="preserve">1. Precizētā likumprojekta redakcija, kas atbilstoši 99. panta pirmajā daļā noteiktajam paredz saglabājamos datus nodot tostarp Konkurences padomei un Patērētāju tiesību aizsardzības centram (PTAC) savu funkciju izpildei nebūtu atbalstāma, ievērojot Eiropas Parlamenta un Padomes 2002. gada 12. jūlija Direktīvas 2002/58/EK par personas datu apstrādi un privātās dzīves aizsardzību elektronisko komunikāciju nozarē (direktīva par privāto dzīvi un elektronisko komunikāciju) (Direktīva 2002/58/EK) 15. panta 1. punktā noteiktos mērķus. Tieslietu ministrijas ieskatā minētās iestādes neatbilst kritērijiem tādām iestādēm, kas nodrošina valsts drošību, aizsardzību un kriminālpārkāpumu novēršanu, izmeklēšanu vai kriminālvajāšanu. Tieslietu ministrija neapšauba, ka konkrētām iestādēm noslodzes un atrašanās vietas dati ir nepieciešami, lai veiktu savas funkcijas un pieņemtu attiecīgus lēmumus, vienlaikus Tieslietu ministrija pauž bažas par to, ka normatīvais regulējums, kas tiek paredzēts ar jauno likumprojektu, piešķirot tiesības Konkurences padomei un Patērētāju tiesību aizsardzības centram (PTAC) iegūt saglabājamos datus nebūtu saderīgs ar Direktīvas 2002/58 15. panta 1. punktā noteiktiem mērķiem. Turklāt šobrīd likumprojektā pastāv neskaidrības attiecībā uz 99. panta pirmo daļu, kas paredz, ka PTAC tiek nodoti saglabājamie dati un 97. panta otro daļu, kas paredz noslodzes datu apstrādi patērētāju tiesību aizsardzības jomā noteikto pienākumu izpildei, kā arī 105. panta trešo daļu, kas paredz PTAC tiesības pieprasīt no elektronisko sakaru komersanta konkrētus noslodzes datus. Tādējādi likumprojekts paredz piekļuvi PTAC gan saglabājamiem datiem (kas ir gan noslodzes, gan atrašanās vietas dati), gan arī atsevišķi paredz piekļuvi noslodzes datiem. Ievērojot minēto, nav saprotams, kādēļ likumprojekta 99. panta pirmajā daļā ir ietverta atsauce uz PTAC, jo 97. panta otrā daļa paredz tiesības elektronisko sakaru komersantam apstrādāt noslodzes datus patērētāju tiesību aizsardzības jomā, savukārt 105. panta trešā daļa paredz tiesības PTAC pieprasīt konkrētus noslodzes datus. Līdz ar to būtībā var secināt, ka PTAC savu funkciju īstenošanai ir nepieciešami tieši noslodzes dati. </w:t>
      </w:r>
    </w:p>
    <w:p w14:paraId="44E9CE53" w14:textId="77777777" w:rsidR="00DC69D8" w:rsidRDefault="00DC69D8" w:rsidP="00DC69D8">
      <w:pPr>
        <w:rPr>
          <w:lang w:val="lv-LV"/>
        </w:rPr>
      </w:pPr>
      <w:r>
        <w:rPr>
          <w:lang w:val="lv-LV"/>
        </w:rPr>
        <w:t>Ņemot vērā minēto, lūdzam precizēt likumprojektu, dzēšot atsauci uz Konkurences padomi un PTAC 99. panta pirmajā daļā, vienlaikus nepieciešamības gadījumā papildinot likumprojekta 97. panta otro daļu ar norādi, ka elektronisko sakaru komersants ir tiesīgs apstrādāt noslodzes datus bez iepriekšējas saskaņošanas ar galalietotāju patērētāju tiesību aizsardzības jomā noteikto pienākumu izpildei, kā arī konkurences tiesību pārkāpumu izskatīšanā.</w:t>
      </w:r>
    </w:p>
    <w:p w14:paraId="589D0F48" w14:textId="77777777" w:rsidR="00DC69D8" w:rsidRDefault="00DC69D8" w:rsidP="00DC69D8">
      <w:pPr>
        <w:rPr>
          <w:lang w:val="lv-LV"/>
        </w:rPr>
      </w:pPr>
      <w:r>
        <w:rPr>
          <w:lang w:val="lv-LV"/>
        </w:rPr>
        <w:t>2. Nepieciešams papildināt likumprojekta anotācijā sniegto skaidrojumu par to, kādēļ likumprojektā paredzēta administratīvā atbildība un netiek piemērots administratīvā akta izdošanas prioritātes princips. Proti, likumprojekta anotāciju lūdzam papildināt ar pamatojumu arī par to, kādēļ jautājums par atļaujas nosacījumu pārkāpumiem nevarētu tikt risināts ar administratīvo aktu. Šobrīd likumprojekta anotācijā neparādās atsauce uz administratīvā akta izdošanas prioritātes principu, tai skaitā tādā veidā, lai secinātu, ka šajā gadījumā to nevar piemērot.</w:t>
      </w:r>
    </w:p>
    <w:p w14:paraId="1C6021CA" w14:textId="77777777" w:rsidR="00DC69D8" w:rsidRDefault="00DC69D8" w:rsidP="00DC69D8">
      <w:pPr>
        <w:rPr>
          <w:lang w:val="lv-LV"/>
        </w:rPr>
      </w:pPr>
    </w:p>
    <w:p w14:paraId="2EFCF3B0" w14:textId="77777777" w:rsidR="00DC69D8" w:rsidRDefault="00DC69D8" w:rsidP="00DC69D8">
      <w:pPr>
        <w:rPr>
          <w:lang w:val="lv-LV"/>
        </w:rPr>
      </w:pPr>
      <w:r>
        <w:rPr>
          <w:lang w:val="lv-LV"/>
        </w:rPr>
        <w:lastRenderedPageBreak/>
        <w:t xml:space="preserve">Papildus informējam, ka rītdienas sanāksmē no Tieslietu ministrijas piedalīsies Viesturs Blūmentāls (sk. apakšā rekvizītus) un Arnis </w:t>
      </w:r>
      <w:proofErr w:type="spellStart"/>
      <w:r>
        <w:rPr>
          <w:lang w:val="lv-LV"/>
        </w:rPr>
        <w:t>Slesars</w:t>
      </w:r>
      <w:proofErr w:type="spellEnd"/>
      <w:r>
        <w:rPr>
          <w:lang w:val="lv-LV"/>
        </w:rPr>
        <w:t xml:space="preserve"> (tālr. 67046133, </w:t>
      </w:r>
      <w:hyperlink r:id="rId4" w:history="1">
        <w:r>
          <w:rPr>
            <w:rStyle w:val="Hyperlink"/>
            <w:lang w:val="lv-LV"/>
          </w:rPr>
          <w:t>arnis.slesars@tm.gov.lv</w:t>
        </w:r>
      </w:hyperlink>
      <w:r>
        <w:rPr>
          <w:lang w:val="lv-LV"/>
        </w:rPr>
        <w:t>). Vienlaikus esam informēti, ka arī pārstāvji no Datu valsts inspekcijas vēlēsies šajā sanāksmē piedalīties.</w:t>
      </w:r>
    </w:p>
    <w:p w14:paraId="391D6E58" w14:textId="77777777" w:rsidR="00DC69D8" w:rsidRDefault="00DC69D8" w:rsidP="00DC69D8">
      <w:pPr>
        <w:rPr>
          <w:lang w:val="lv-LV"/>
        </w:rPr>
      </w:pPr>
    </w:p>
    <w:p w14:paraId="391F03C8" w14:textId="77777777" w:rsidR="00DC69D8" w:rsidRDefault="00DC69D8" w:rsidP="00DC69D8">
      <w:pPr>
        <w:rPr>
          <w:lang w:val="lv-LV"/>
        </w:rPr>
      </w:pPr>
    </w:p>
    <w:p w14:paraId="75E0D304" w14:textId="4C219C0D" w:rsidR="00DC69D8" w:rsidRDefault="00DC69D8" w:rsidP="00DC69D8">
      <w:pPr>
        <w:rPr>
          <w:lang w:val="lv-LV" w:eastAsia="lv-LV"/>
        </w:rPr>
      </w:pPr>
      <w:r>
        <w:rPr>
          <w:noProof/>
          <w:lang w:val="lv-LV" w:eastAsia="lv-LV"/>
        </w:rPr>
        <w:drawing>
          <wp:inline distT="0" distB="0" distL="0" distR="0" wp14:anchorId="7D387E29" wp14:editId="4A557977">
            <wp:extent cx="5276850" cy="269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6850" cy="2698750"/>
                    </a:xfrm>
                    <a:prstGeom prst="rect">
                      <a:avLst/>
                    </a:prstGeom>
                    <a:noFill/>
                    <a:ln>
                      <a:noFill/>
                    </a:ln>
                  </pic:spPr>
                </pic:pic>
              </a:graphicData>
            </a:graphic>
          </wp:inline>
        </w:drawing>
      </w:r>
    </w:p>
    <w:p w14:paraId="4B6B19F3" w14:textId="77777777" w:rsidR="00547ECB" w:rsidRDefault="00547ECB"/>
    <w:sectPr w:rsidR="00547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D8"/>
    <w:rsid w:val="00547ECB"/>
    <w:rsid w:val="00DC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C5B3"/>
  <w15:chartTrackingRefBased/>
  <w15:docId w15:val="{378DEEF6-8552-4288-AA2C-AD65AF41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9D8"/>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9D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48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arnis.slesars@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Undīne Dindune</dc:creator>
  <cp:keywords/>
  <dc:description/>
  <cp:lastModifiedBy>Jūlija Undīne Dindune</cp:lastModifiedBy>
  <cp:revision>1</cp:revision>
  <dcterms:created xsi:type="dcterms:W3CDTF">2021-08-06T11:34:00Z</dcterms:created>
  <dcterms:modified xsi:type="dcterms:W3CDTF">2021-08-06T11:35:00Z</dcterms:modified>
</cp:coreProperties>
</file>