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26-TA-310: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5. septembra noteikumos Nr. 510 "Eiropas Savienības kohēzijas politikas programmas 2021.–2027. gadam finanšu instrumentu kopīgie īstenošanas noteikumi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Plānotais finansējuma sadalījums šo noteikumu 2. punktā noteikto specifiskā atbalsta mērķu un pasākumu finanšu instrumentos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pielikumā atspoguļots finansējuma sadalījums finanšu instrumentos, tajā nav pamata iekļaut 1.5.1. specifiskā atbalsta mērķa "Rūpniecisko spēju uzlabošana, lai veicinātu aizsardzības spējas, prioritāti piešķirot divējāda lietojuma spējām" 1.kārtas finansējumu, jo 1.kārta tiks īstenota, veicot grantu piešķiršanu.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Artis Jurkevics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 pasākuma MK noteikumu 17.punkts, nosaka, ka gala saņēmējs, iesniedzot projekta pieteikumu sabiedrībā "Altum" saņemšanai divējāda lietojuma inovatīva produkta izstrādei drošības un aizsardzības jomā, iesniedz arī Aizsardzības ministrijas atzinumu par pieteiktā produkta atbilstību divējāda lietojuma inovatīvam produktam drošības un aizsardzības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i w:val="1"/>
                <w:rtl w:val="0"/>
              </w:rPr>
              <w:t xml:space="preserve">19.Gala saņēmējs, iesniedzot projekta pieteikumu sabiedrībā "Altum" atbalsta saņemšanai inovatīva produkta izstrādei, iesniedz arī Latvijas Zinātnes padomes atzinumu par pieteiktā produkta atbilstību inovatīvam  produktam</w:t>
            </w:r>
            <w:r w:rsidR="00000000" w:rsidRPr="00000000" w:rsidDel="00000000">
              <w:rPr>
                <w:rtl w:val="0"/>
              </w:rPr>
              <w:t xml:space="preserve">". Tādējādi lūdzam precizēt anotācijas 1.3. sadaļas "Pašreizējā situācija, problēmas un risinājumi" 2.rindkopā iekļauto informāciju.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anioācijā iekļautā informācija būtu viegli uztverama visiem normatīvā akta lietotājiem, aicinām EM sadaļā 'Risinājuma apraksts" "Aktuālie intervences kodi un finansējuma sadalījums starp tiem katram pasākumam" pie katra koda iekļaut to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grozījumiem noteikumu projektā ir veikti precizējumi vairāku valsts atbalsta programmu finansējuma apmēros, kā arī to, ka atbilstoši Attīstības finanšu institūcijas likuma 12. panta trešās un ceturtās daļas prasībām Ministru kabinets apstiprina programmas un nosaka to īstenošanas kārtību, finansējumu,  lūdzam: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skaidrāk un pilnīgāk papildināt anotāciju norādot visus faktiskos un finansiālos apstākļus, kas pamato veiktās izmaiņas katrā valsts atbalsta programmā, tostarp norādot atbilstošo MK noteikumu numuru un nosaukumu, tādējādi nodrošinot caurskatāmu un izsekojamu izmaiņu atspoguļojumu programmās un pasākumos;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aicinām izvērtēt nepieciešamību sagatavot aktualizētus programmu novērtējumus, ja nepieciešams, iesniegts izskatīšanai Ministru kabinetā.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Laiveniece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netiek saņemts saskaņojums no Eiropas Komisijas lēmums par grozījumiem Eiropas Savienības kohēzijas politikas programmā 2021.-2027. gadam Nr. 5, Ekonomikas ministrijai sagatavot un Ekonomikas ministram iesniegt izskatīšanai Ministru kabinetā informatīvo ziņojumu par priekšlikumiem turpmākai rīcībai.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sēdes protokollēmuma 3.punkts rada interpretācijas problēmas, tādējādi aicinām izvērtēt to izteikt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netiek saņemts pozitīvs Eiropas Komisijas lēmums par grozījumiem Eiropas Savienības kohēzijas politikas programmā 2021.-2027. gadam Nr.5, Ekonomikas ministrijai sagatavot un ekonomikas ministram iesniegt izskatīšanai Ministru kabinetā informatīvo ziņojumu par priekšlikumiem turpmākai rīcībai.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Vamža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1.5.1. specifiskā atbalsta mērķa "Rūpniecisko spēju uzlabošana, lai veicinātu aizsardzības spējas, prioritāti piešķirot divējāda lietojuma spējām"  (turpmāk – 1.5.1. SAM pasākums)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projektā precizēt ES kohēzijas politikas programmas 2021- 2027.gadam  1.5.1. specifiskā atbalsta mērķa nosaukumu  "Rūpniecisko spēju uzlabošana aizsardzības stiprināšanai, prioritāti piešķirot divējāda lietojuma spējām".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politikas programmas 2.1. prioritātei "Klimata pārmaiņu mazināšana un pielāgošanās klimata pārmaiņām" – 258 307 502 </w:t>
            </w:r>
            <w:r w:rsidR="00000000" w:rsidRPr="00000000" w:rsidDel="00000000">
              <w:rPr>
                <w:i w:val="1"/>
                <w:rtl w:val="0"/>
              </w:rPr>
              <w:t xml:space="preserve">euro</w:t>
            </w:r>
            <w:r w:rsidR="00000000" w:rsidRPr="00000000" w:rsidDel="00000000">
              <w:rPr>
                <w:rtl w:val="0"/>
              </w:rPr>
              <w:t xml:space="preserve">, ko veido Eiropas Reģionālās attīstības fonda finansējums 201 315 182  </w:t>
            </w:r>
            <w:r w:rsidR="00000000" w:rsidRPr="00000000" w:rsidDel="00000000">
              <w:rPr>
                <w:i w:val="1"/>
                <w:rtl w:val="0"/>
              </w:rPr>
              <w:t xml:space="preserve">euro </w:t>
            </w:r>
            <w:r w:rsidR="00000000" w:rsidRPr="00000000" w:rsidDel="00000000">
              <w:rPr>
                <w:rtl w:val="0"/>
              </w:rPr>
              <w:t xml:space="preserve">apmērā,  Kohēzijas fonda finansējums 18 246 193 </w:t>
            </w:r>
            <w:r w:rsidR="00000000" w:rsidRPr="00000000" w:rsidDel="00000000">
              <w:rPr>
                <w:i w:val="1"/>
                <w:rtl w:val="0"/>
              </w:rPr>
              <w:t xml:space="preserve">euro </w:t>
            </w:r>
            <w:r w:rsidR="00000000" w:rsidRPr="00000000" w:rsidDel="00000000">
              <w:rPr>
                <w:rtl w:val="0"/>
              </w:rPr>
              <w:t xml:space="preserve">apmērā   un valsts budžeta līdzfinansējums 38 746 127 </w:t>
            </w:r>
            <w:r w:rsidR="00000000" w:rsidRPr="00000000" w:rsidDel="00000000">
              <w:rPr>
                <w:i w:val="1"/>
                <w:rtl w:val="0"/>
              </w:rPr>
              <w:t xml:space="preserve">euro </w:t>
            </w:r>
            <w:r w:rsidR="00000000" w:rsidRPr="00000000" w:rsidDel="00000000">
              <w:rPr>
                <w:rtl w:val="0"/>
              </w:rPr>
              <w:t xml:space="preserve">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vēlreiz pārbaudīt Eiropas Reģionālās attīstības fonda finansējumu 201 315 182  euro apmērā. Vēršam uzmanību, ka šobrīd MK noteikumos iekļautajā finansējumā visticamāk ir iekļauts arī 2.1.1.1. pasākuma "Energoefektivitātes paaugstināšana dzīvojamās ēkās, t.sk. attīstot ESKO tirgu (daudzīvokļu, privātās un neliela dzīvokļu skaita ēku kompleksos)" (turpmāk - 2.1.1.1. pasākums) 1.atlases kārtas finansējums, kas ir 2014.-2020.gada plānošanas perioda posmotais projekts. Pēc Finanšu ministrijas datiem pareizais finansējums ir 198 765 182 euro, kurš sastāv no 2.1.1.1. pasākuma 2.atlases kārtas, 2.1.1.2. pasākuma "AER izmantošana un energoefektivitātes paaugstināšana rūpniecībā un komersantos" un 2.1.1.3. pasākuma "AER izmantošana un energoefektivitātes paaugstināšana lokālajā un individuālajā siltumapgādē un aukstumapgādē" 2. kārtas.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26-TA-310</w:t>
    </w:r>
    <w:r>
      <w:br/>
    </w:r>
    <w:r w:rsidR="00000000" w:rsidRPr="00000000" w:rsidDel="00000000">
      <w:rPr>
        <w:rtl w:val="0"/>
      </w:rPr>
      <w:t xml:space="preserve">Izdrukāts 17.03.2026. 16.05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26-TA-310</w:t>
    </w:r>
    <w:r>
      <w:br/>
    </w:r>
    <w:r w:rsidR="00000000" w:rsidRPr="00000000" w:rsidDel="00000000">
      <w:rPr>
        <w:rtl w:val="0"/>
      </w:rPr>
      <w:t xml:space="preserve">Izdrukāts 17.03.2026. 16.05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Atzinumi_26-TA-310.docx</dc:title>
</cp:coreProperties>
</file>

<file path=docProps/custom.xml><?xml version="1.0" encoding="utf-8"?>
<Properties xmlns="http://schemas.openxmlformats.org/officeDocument/2006/custom-properties" xmlns:vt="http://schemas.openxmlformats.org/officeDocument/2006/docPropsVTypes"/>
</file>