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otrās kārtas mērķa grupa ir pensijas vecuma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rosinām paplašināt investīcijas mērķa grupu, tajā iekļaujot pensijas vecumu nesasniegušas personas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noteikto atbalstāmo darbību īstenošanai vienas ēkas izveidei Atveseļošanas fonda finansējums nepārsniedz 1 273 204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Saistīti ar 40. punktu un 40.1.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vienas ēkas uzbūves, ieskaitot teritorijas labiekārtošanu, projekta pielāgošanu un aprīkojuma iegādi, potenciālās izmaksas ir 2 485,41 EUR/m2 bez pievienotās vērtības nodokļa (turpmāk – PVN), plānotais atbalsts – 1948,58 EUR/m2 bez PVN.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 vienas ēkas uzbūvei nepieciešams pašvaldības līdzfinansējums ir 42,6% apmērā (summa, kas veidojas no nepieciešamā pašvaldības līdzfinansējuma ēkas būvdarbu finansēšanai 21,6% un PVN nodrošināšanai 21%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pastāv risks, ka pašvaldības nerealizēs investīcijas ietvaros plānotos projektus un līdz ar to sociālās atstumtības riskam pakļautajiem iedzīvotājiem, kuriem ir ierobežoti finanšu resursi, tiks samazinātas pieejas iespējas būtiski nepieciešamiem sociālajiem un nodarbinātības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iebilstam par plānoto Atveseļošanas fonda finansējuma apjomu (1 273 204  EUR) vienai ēkai. Rosinām to palielināt atbilstoši esošajai tirgus situācijai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sasniegtu noteiktos rādītājus, atkārtoti aicinām ļaut pašvaldībai individuāli izstrādāt būvprojektu gadījumos, kad pirmās kārtas ietvaros izveidotais tipveida būvprojekta risinājums nav pielāgojams pašvaldības vajadzībām, t. sk. pieejamā zemes gabala konfigurācijai.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(turpmāk – MKN) projekta 35.3. apakšpunkts nosaka, ka izmaksas, kas radušās šo noteikumu ietvaros atbalstāmo darbību īstenošanai, pārsniedz līgumā noteikto Atveseļošanas fonda finansējuma un pievienotās vērtības nodokļa izmaksu apmēru, un ir nepieciešamas šo noteikumu noteiktā mērķrādītāja sasniegšanai, bet šādas izmaksas ir iekļaujamas investīcijas otrās kārtas projektā kā attiecināmais pašvaldības finansējums vai privātais finansējums, savukārt MKN protokollēmuma 6. punktā iekļautais nosacījums paredz, ka Labklājības ministrija rosinās Finanšu ministriju likumprojekta par valsts budžetu 2024. gadam un budžeta ietvaru 2024., 2025. un 2026. gadam izstrādes procesā, izvērtējot valsts budžeta iespējas, palielināt pašvaldību aizņemšanas iespējas 3.1.2.3.i investīcijas ietvaros, ierosinām MKN protokollēmuma 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likumprojekta par valsts budžetu 2024. gadam un budžeta ietvaru 2024., 2025. un 2026. gadam izstrādes procesā paredzēt pašvaldībām aizņemšanās iespējas  3.1.2.3.i. investīcijas otrās kārtas projekta īstenošanai, tajā skaitā  papildu  pašvaldību izmaksām, kas pārsniedz Atveseļošanas fonda un pievienotās vērtības nodokļa finansējumu, bet ir nepieciešamas 3.1.2.3.i. investīcijas otrās kārtas mērķrādītāju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šīs investīcijas ietvaros netiks rasts risinājums par valsts aizņēmuma saņemšanas iespējām MKN projekta 35.1. un 35.3. apakšpunktā minēto izmaksu segšanai, tad Rīgas valstspilsētas pašvaldība izvērtēs savu dalību šīs investīcijas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28.06.2023.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28.06.2023.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