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Kritiskās infrastruktūras apzināšanas, darbības nepārtrauktības, drošības un noturības pasākumu plānošanas, īstenošanas un incidentu paziņošanas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10. lpp. skaidrots, ka saskaņā ar Ekonomikas ministrijas informatīvo ziņojumu “Par Iekšējā tirgus ārkārtas situācijas un noturības akta prasību ieviešanu” (25-TA-1323) (turpmāk - informatīvais ziņojums) un tā protokollēmumu visas ministrijas savas kompetences ietvaros nodrošina prasību izpildi, kā arī citēts protokollēmuma 4. punkts, proti: "</w:t>
            </w:r>
            <w:r w:rsidR="00000000" w:rsidRPr="00000000" w:rsidDel="00000000">
              <w:rPr>
                <w:i w:val="1"/>
                <w:rtl w:val="0"/>
              </w:rPr>
              <w:t xml:space="preserve">Krīzes vadības centrs (Valsts kanceleja), sadarbībā ar nozaru ministrijām, līdz 2026. gada 29. maijam, izstrādā vadlīnijas, kuras noteiks kārtību, kādā norisināsies informācijas apmaiņa nacionālā līmenī, atbilstoši Iekšējā tirgus ārkārtas situācijas un noturības aktam.</w:t>
            </w:r>
            <w:r w:rsidR="00000000" w:rsidRPr="00000000" w:rsidDel="00000000">
              <w:rPr>
                <w:rtl w:val="0"/>
              </w:rPr>
              <w:t xml:space="preserve">" Vēršam uzmanību, ka informatīvais ziņojums un tā protokollēmums nav pieņemti (tie ir iesniegti), kā arī iesniegtā protokollēmuma 4. punkta saturs atšķiras. Ņemot vērā minēto, aicinām precizēt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 sadaļu attiecībā uz Komisijas 2003. gada 6. maija Ieteikumu par mikrouzņēmumu, mazo un vidējo uzņēmumu definīciju (skat. noteikumu projekta 5.9. apakšpunktu). Skaidrojam, ka, lai gan ieteikumi ir juridiski nesaistoši, tie atbilstoši Līguma par Eiropas Savienības darbību 288. pantam ir Eiropas Savienības tiesību akti un ietekmē Eiropas Savienības tiesību iztulkošanu un harmonizētu piemērošanu, tādējādi jānorāda to sasiaste ar nacionālo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projektā un anotācijā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u.c.); numurs un nosaukums atbilstoši tiesību akta nosaukumam latviešu valodā EUR-Lex datu bāzē. Piemēram, Komisijas 2023. gada 25. jūlija deleģētā regula (ES) 2023/2450, ar ko papildina Eiropas Parlamenta un Padomes Direktīvu (ES) 2022/2557, izveidojot pamatpakalpojumu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25-TA-1988</w:t>
    </w:r>
    <w:r>
      <w:br/>
    </w:r>
    <w:r w:rsidR="00000000" w:rsidRPr="00000000" w:rsidDel="00000000">
      <w:rPr>
        <w:rtl w:val="0"/>
      </w:rPr>
      <w:t xml:space="preserve">Izdrukāts 05.01.2026. 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25-TA-1988</w:t>
    </w:r>
    <w:r>
      <w:br/>
    </w:r>
    <w:r w:rsidR="00000000" w:rsidRPr="00000000" w:rsidDel="00000000">
      <w:rPr>
        <w:rtl w:val="0"/>
      </w:rPr>
      <w:t xml:space="preserve">Izdrukāts 05.01.2026. 20.22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Atzinumi_25-TA-1988.docx</dc:title>
</cp:coreProperties>
</file>

<file path=docProps/custom.xml><?xml version="1.0" encoding="utf-8"?>
<Properties xmlns="http://schemas.openxmlformats.org/officeDocument/2006/custom-properties" xmlns:vt="http://schemas.openxmlformats.org/officeDocument/2006/docPropsVTypes"/>
</file>