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14. janvāra noteikumos Nr. 40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4.2.2.6. pasākuma "Cikliskas institucionālās akreditācijas ieviešana augstākajā izglītībā"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ņemot vērā plānotos grozījumus Ministru kabineta 2025. gada 14. janvāra noteikumos Nr. 40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4.2.2.6. pasākuma "Cikliskas institucionālās akreditācijas ieviešana augstākajā izglītībā" īstenošanas noteikumi" (turpmāk - noteikumi Nr. 40), būs nepieciešams veikt grozījumus arī līgumā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4.2.2.6. pasākuma "Cikliskas institucionālās akreditācijas ieviešana augstākajā izglītībā"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konstatēto sasaisti starp Eiropas Savienības fondu 2021.-2027.gada plānošanas perioda 4.2.2.6.pasākumu “Cikliskas institucionālās akreditācijas ieviešana augstākajā izglītībā” un Atveseļošanas un noturības mehānisma (turpmāk - AF) plāna 5.2.1.r. reformu “Augstākās izglītības un zinātnes izcilības un pārvaldības reforma”, kā arī pēdējās aktuālākās diskusijas ar Eiropas Komisiju par reformas īstenošanu AF kontekstā, t.sk. pienākumu veikt pilotprojektus, lūdzam no Izglītības un zinātnes ministrijas puses sadarbībā ar kolēģiem kritiski izvērtēt noteikumus Nr.40, vai tajos ir ietverti visi AF saistību izpildei nepieciešamie nosacījumi un pienākumi finansējuma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nepieciešamības gadījumā papildināt noteikumu projektu ar nosacījumiem/pienākumiem finansējuma saņēmējam nodrošināt visas nepieciešamās darbības AF mērķu sasniegšanai un Latvijas saistību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Leikučs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Finansējuma saņēmējam paredzēto avansu var izmaksāt pa daļām. Maksimālais avansa apjoms nepārsniedz 30 procentus no projektam piešķirtā ESF+ finansējuma un valsts budžeta līdzfinansējuma kopsummas. Avansa un starpposma maksājumu kopsumma nepārsniedz 90 procentus no projektam piešķirtā ESF+ un valsts budžeta līdzfinansējuma kopsummas. Avansā neietilpst finansējums šo noteikumu </w:t>
            </w:r>
            <w:r w:rsidR="00000000" w:rsidRPr="00000000" w:rsidDel="00000000">
              <w:rPr>
                <w:rtl w:val="0"/>
              </w:rPr>
              <w:t xml:space="preserve">18.4. </w:t>
            </w:r>
            <w:r w:rsidR="00000000" w:rsidRPr="00000000" w:rsidDel="00000000">
              <w:rPr>
                <w:rtl w:val="0"/>
              </w:rPr>
              <w:t xml:space="preserve">apakšpunktā</w:t>
            </w:r>
            <w:r w:rsidR="00000000" w:rsidRPr="00000000" w:rsidDel="00000000">
              <w:rPr>
                <w:rtl w:val="0"/>
              </w:rPr>
              <w:t xml:space="preserve"> noteiktajai atbalstāmajai darbībai, ko īsteno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minētais sadarbības partneris.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minētais sadarbības partneris šo noteikumu </w:t>
            </w:r>
            <w:r w:rsidR="00000000" w:rsidRPr="00000000" w:rsidDel="00000000">
              <w:rPr>
                <w:rtl w:val="0"/>
              </w:rPr>
              <w:t xml:space="preserve">23. </w:t>
            </w:r>
            <w:r w:rsidR="00000000" w:rsidRPr="00000000" w:rsidDel="00000000">
              <w:rPr>
                <w:rtl w:val="0"/>
              </w:rPr>
              <w:t xml:space="preserve">punktā</w:t>
            </w:r>
            <w:r w:rsidR="00000000" w:rsidRPr="00000000" w:rsidDel="00000000">
              <w:rPr>
                <w:rtl w:val="0"/>
              </w:rPr>
              <w:t xml:space="preserve"> minētā finansējuma ietvaros maksājumus veic no līdzekļiem, kas projekta īstenošanai paredzēti Izglītības un zinātnes ministrijas budžetā atbilstoši sadarbības līgumam, kas noslēgts ar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Nr. 40 25. punkta plānoto grozījumu nepieciešamību. Proti, aicinām izvērtēt, vai nosacījumi par sadarbības partnera rīcībā esošo finansējumu nebūtu iekļaujami tikai starp finansējuma saņēmēju un sadarbības partneri noslēgtajā sadarbības līgumā, šos nosacījumus nedublējot noteikumos Nr. 40, tostarp ņemot vērā Ministru kabineta 2023. gada 13. jūlija noteikumu Nr. 408 "Kārtība, kādā Eiropas Savienības fondu vadībā iesaistītās institūcijas nodrošina šo fondu ieviešanu 2021.–2027. gada plānošanas periodā" 6. punktā noteikto par sadarbības līgumā minimāli iekļaujamo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Finansējuma saņēmējs un sadarbības partneris projekta īstenošanas laikā nodrošina interešu konflikta neesību saskaņā ar Eiropas Parlamenta un Padomes 2018. gada 18. jūlija Regulas (ES, Euratom) Nr.  </w:t>
            </w:r>
            <w:r w:rsidR="00000000" w:rsidRPr="00000000" w:rsidDel="00000000">
              <w:rPr>
                <w:rtl w:val="0"/>
              </w:rPr>
              <w:t xml:space="preserve">2018/1046</w:t>
            </w:r>
            <w:r w:rsidR="00000000" w:rsidRPr="00000000" w:rsidDel="00000000">
              <w:rPr>
                <w:rtl w:val="0"/>
              </w:rPr>
              <w:t xml:space="preserve"> par finanšu noteikumiem, ko piemēro Savienības vispārējam budžetam, ar kuru groza Regulas (ES) Nr.  </w:t>
            </w:r>
            <w:r w:rsidR="00000000" w:rsidRPr="00000000" w:rsidDel="00000000">
              <w:rPr>
                <w:rtl w:val="0"/>
              </w:rPr>
              <w:t xml:space="preserve">1296/2013</w:t>
            </w:r>
            <w:r w:rsidR="00000000" w:rsidRPr="00000000" w:rsidDel="00000000">
              <w:rPr>
                <w:rtl w:val="0"/>
              </w:rPr>
              <w:t xml:space="preserve">, (ES) Nr.  </w:t>
            </w:r>
            <w:r w:rsidR="00000000" w:rsidRPr="00000000" w:rsidDel="00000000">
              <w:rPr>
                <w:rtl w:val="0"/>
              </w:rPr>
              <w:t xml:space="preserve">1301/2013</w:t>
            </w:r>
            <w:r w:rsidR="00000000" w:rsidRPr="00000000" w:rsidDel="00000000">
              <w:rPr>
                <w:rtl w:val="0"/>
              </w:rPr>
              <w:t xml:space="preserve">, (ES) Nr.  </w:t>
            </w:r>
            <w:r w:rsidR="00000000" w:rsidRPr="00000000" w:rsidDel="00000000">
              <w:rPr>
                <w:rtl w:val="0"/>
              </w:rPr>
              <w:t xml:space="preserve">1303/2013</w:t>
            </w:r>
            <w:r w:rsidR="00000000" w:rsidRPr="00000000" w:rsidDel="00000000">
              <w:rPr>
                <w:rtl w:val="0"/>
              </w:rPr>
              <w:t xml:space="preserve">, (ES) Nr.  </w:t>
            </w:r>
            <w:r w:rsidR="00000000" w:rsidRPr="00000000" w:rsidDel="00000000">
              <w:rPr>
                <w:rtl w:val="0"/>
              </w:rPr>
              <w:t xml:space="preserve">1304/2013</w:t>
            </w:r>
            <w:r w:rsidR="00000000" w:rsidRPr="00000000" w:rsidDel="00000000">
              <w:rPr>
                <w:rtl w:val="0"/>
              </w:rPr>
              <w:t xml:space="preserve">, (ES) Nr.  </w:t>
            </w:r>
            <w:r w:rsidR="00000000" w:rsidRPr="00000000" w:rsidDel="00000000">
              <w:rPr>
                <w:rtl w:val="0"/>
              </w:rPr>
              <w:t xml:space="preserve">1309/2013</w:t>
            </w:r>
            <w:r w:rsidR="00000000" w:rsidRPr="00000000" w:rsidDel="00000000">
              <w:rPr>
                <w:rtl w:val="0"/>
              </w:rPr>
              <w:t xml:space="preserve">, (ES) Nr.  </w:t>
            </w:r>
            <w:r w:rsidR="00000000" w:rsidRPr="00000000" w:rsidDel="00000000">
              <w:rPr>
                <w:rtl w:val="0"/>
              </w:rPr>
              <w:t xml:space="preserve">1316/2013</w:t>
            </w:r>
            <w:r w:rsidR="00000000" w:rsidRPr="00000000" w:rsidDel="00000000">
              <w:rPr>
                <w:rtl w:val="0"/>
              </w:rPr>
              <w:t xml:space="preserve">, (ES) Nr.  </w:t>
            </w:r>
            <w:r w:rsidR="00000000" w:rsidRPr="00000000" w:rsidDel="00000000">
              <w:rPr>
                <w:rtl w:val="0"/>
              </w:rPr>
              <w:t xml:space="preserve">223/2014</w:t>
            </w:r>
            <w:r w:rsidR="00000000" w:rsidRPr="00000000" w:rsidDel="00000000">
              <w:rPr>
                <w:rtl w:val="0"/>
              </w:rPr>
              <w:t xml:space="preserve">, (ES) Nr.  </w:t>
            </w:r>
            <w:r w:rsidR="00000000" w:rsidRPr="00000000" w:rsidDel="00000000">
              <w:rPr>
                <w:rtl w:val="0"/>
              </w:rPr>
              <w:t xml:space="preserve">283/2014</w:t>
            </w:r>
            <w:r w:rsidR="00000000" w:rsidRPr="00000000" w:rsidDel="00000000">
              <w:rPr>
                <w:rtl w:val="0"/>
              </w:rPr>
              <w:t xml:space="preserve"> un Lēmumu Nr. 541/2014/ES un atceļ Regulu (ES, Euratom) Nr.  </w:t>
            </w:r>
            <w:r w:rsidR="00000000" w:rsidRPr="00000000" w:rsidDel="00000000">
              <w:rPr>
                <w:rtl w:val="0"/>
              </w:rPr>
              <w:t xml:space="preserve">966/2012</w:t>
            </w:r>
            <w:r w:rsidR="00000000" w:rsidRPr="00000000" w:rsidDel="00000000">
              <w:rPr>
                <w:rtl w:val="0"/>
              </w:rPr>
              <w:t xml:space="preserve">, 61. panta prasībām un publisko iepirkumu reglamentējošajiem normatīvajiem aktiem,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Nr. 40 40. punkta nepieciešamību, ņemot vērā konkrētā specifiskā atbalsta mērķa projekta veidu un to, ka Eiropas Parlamenta un Padomes 2024. gada 23. septembra Regulas (ES, Euratom) 2024/2509 par finanšu noteikumiem, ko piemēro Savienības vispārējam budžetam (pārstrādātā redakcija) (turpmāk - Regula 2024/2509) 61. panta prasības ir tieši piemērojamas tādiem projektiem, kas saistīti ar Eiropas Savienības fondu atbalsta saņemšanu un vienlaikus kuros atbilstoši specifiskā atbalsta mērķim finansējuma saņēmējs atlases kārtībā Eiropas Savienības fondu projekta dalībniekiem vai gala saņēmējiem sniedz finansiālu atbalstu (t.s. </w:t>
            </w:r>
            <w:r w:rsidR="00000000" w:rsidRPr="00000000" w:rsidDel="00000000">
              <w:rPr>
                <w:u w:val="single"/>
                <w:rtl w:val="0"/>
              </w:rPr>
              <w:t xml:space="preserve">daudzpakāpju projekti</w:t>
            </w:r>
            <w:r w:rsidR="00000000" w:rsidRPr="00000000" w:rsidDel="00000000">
              <w:rPr>
                <w:rtl w:val="0"/>
              </w:rPr>
              <w:t xml:space="preserve">). Turklāt vēršam uzmanību, ka publiskos iepirkumus regulējošajos normatīvajos aktos ir regulēts, kuriem subjektiem ir pienākums nodrošināt interešu konflikta neesību.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2024. gada 30. septembrī stājusies spēkā jaunā “Finanšu regula” – Regula 2024/2509, un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Finansējuma saņēmējs un sadarbības partneris projekta īstenošanas laikā nodrošina interešu konflikta neesību saskaņā ar Eiropas Parlamenta un Padomes 2018. gada 18. jūlija Regulas (ES, Euratom) Nr.  </w:t>
            </w:r>
            <w:r w:rsidR="00000000" w:rsidRPr="00000000" w:rsidDel="00000000">
              <w:rPr>
                <w:rtl w:val="0"/>
              </w:rPr>
              <w:t xml:space="preserve">2018/1046</w:t>
            </w:r>
            <w:r w:rsidR="00000000" w:rsidRPr="00000000" w:rsidDel="00000000">
              <w:rPr>
                <w:rtl w:val="0"/>
              </w:rPr>
              <w:t xml:space="preserve"> par finanšu noteikumiem, ko piemēro Savienības vispārējam budžetam, ar kuru groza Regulas (ES) Nr.  </w:t>
            </w:r>
            <w:r w:rsidR="00000000" w:rsidRPr="00000000" w:rsidDel="00000000">
              <w:rPr>
                <w:rtl w:val="0"/>
              </w:rPr>
              <w:t xml:space="preserve">1296/2013</w:t>
            </w:r>
            <w:r w:rsidR="00000000" w:rsidRPr="00000000" w:rsidDel="00000000">
              <w:rPr>
                <w:rtl w:val="0"/>
              </w:rPr>
              <w:t xml:space="preserve">, (ES) Nr.  </w:t>
            </w:r>
            <w:r w:rsidR="00000000" w:rsidRPr="00000000" w:rsidDel="00000000">
              <w:rPr>
                <w:rtl w:val="0"/>
              </w:rPr>
              <w:t xml:space="preserve">1301/2013</w:t>
            </w:r>
            <w:r w:rsidR="00000000" w:rsidRPr="00000000" w:rsidDel="00000000">
              <w:rPr>
                <w:rtl w:val="0"/>
              </w:rPr>
              <w:t xml:space="preserve">, (ES) Nr.  </w:t>
            </w:r>
            <w:r w:rsidR="00000000" w:rsidRPr="00000000" w:rsidDel="00000000">
              <w:rPr>
                <w:rtl w:val="0"/>
              </w:rPr>
              <w:t xml:space="preserve">1303/2013</w:t>
            </w:r>
            <w:r w:rsidR="00000000" w:rsidRPr="00000000" w:rsidDel="00000000">
              <w:rPr>
                <w:rtl w:val="0"/>
              </w:rPr>
              <w:t xml:space="preserve">, (ES) Nr.  </w:t>
            </w:r>
            <w:r w:rsidR="00000000" w:rsidRPr="00000000" w:rsidDel="00000000">
              <w:rPr>
                <w:rtl w:val="0"/>
              </w:rPr>
              <w:t xml:space="preserve">1304/2013</w:t>
            </w:r>
            <w:r w:rsidR="00000000" w:rsidRPr="00000000" w:rsidDel="00000000">
              <w:rPr>
                <w:rtl w:val="0"/>
              </w:rPr>
              <w:t xml:space="preserve">, (ES) Nr.  </w:t>
            </w:r>
            <w:r w:rsidR="00000000" w:rsidRPr="00000000" w:rsidDel="00000000">
              <w:rPr>
                <w:rtl w:val="0"/>
              </w:rPr>
              <w:t xml:space="preserve">1309/2013</w:t>
            </w:r>
            <w:r w:rsidR="00000000" w:rsidRPr="00000000" w:rsidDel="00000000">
              <w:rPr>
                <w:rtl w:val="0"/>
              </w:rPr>
              <w:t xml:space="preserve">, (ES) Nr.  </w:t>
            </w:r>
            <w:r w:rsidR="00000000" w:rsidRPr="00000000" w:rsidDel="00000000">
              <w:rPr>
                <w:rtl w:val="0"/>
              </w:rPr>
              <w:t xml:space="preserve">1316/2013</w:t>
            </w:r>
            <w:r w:rsidR="00000000" w:rsidRPr="00000000" w:rsidDel="00000000">
              <w:rPr>
                <w:rtl w:val="0"/>
              </w:rPr>
              <w:t xml:space="preserve">, (ES) Nr.  </w:t>
            </w:r>
            <w:r w:rsidR="00000000" w:rsidRPr="00000000" w:rsidDel="00000000">
              <w:rPr>
                <w:rtl w:val="0"/>
              </w:rPr>
              <w:t xml:space="preserve">223/2014</w:t>
            </w:r>
            <w:r w:rsidR="00000000" w:rsidRPr="00000000" w:rsidDel="00000000">
              <w:rPr>
                <w:rtl w:val="0"/>
              </w:rPr>
              <w:t xml:space="preserve">, (ES) Nr.  </w:t>
            </w:r>
            <w:r w:rsidR="00000000" w:rsidRPr="00000000" w:rsidDel="00000000">
              <w:rPr>
                <w:rtl w:val="0"/>
              </w:rPr>
              <w:t xml:space="preserve">283/2014</w:t>
            </w:r>
            <w:r w:rsidR="00000000" w:rsidRPr="00000000" w:rsidDel="00000000">
              <w:rPr>
                <w:rtl w:val="0"/>
              </w:rPr>
              <w:t xml:space="preserve"> un Lēmumu Nr. 541/2014/ES un atceļ Regulu (ES, Euratom) Nr.  </w:t>
            </w:r>
            <w:r w:rsidR="00000000" w:rsidRPr="00000000" w:rsidDel="00000000">
              <w:rPr>
                <w:rtl w:val="0"/>
              </w:rPr>
              <w:t xml:space="preserve">966/2012</w:t>
            </w:r>
            <w:r w:rsidR="00000000" w:rsidRPr="00000000" w:rsidDel="00000000">
              <w:rPr>
                <w:rtl w:val="0"/>
              </w:rPr>
              <w:t xml:space="preserve">, 61. panta prasībām un publisko iepirkumu reglamentējošajiem normatīvajiem aktiem,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jaunā “Finanšu regula” – Eiropas Parlamenta un Padomes 2024. gada 23. septembra Regula (ES, Euratom) 2024/2509 par finanšu noteikumiem, ko piemēro Savienības vispārējam budžetam (pārstrādāta redakcija) (turpmāk - Regula 2024/2509), un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2018/1046).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noteikumu projekta 40. punktā precizēt regulas atsauci, norādot atsauci uz Regulu 2024/2509.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25-TA-2184</w:t>
    </w:r>
    <w:r>
      <w:br/>
    </w:r>
    <w:r w:rsidR="00000000" w:rsidRPr="00000000" w:rsidDel="00000000">
      <w:rPr>
        <w:rtl w:val="0"/>
      </w:rPr>
      <w:t xml:space="preserve">Izdrukāts 17.10.2025.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25-TA-2184</w:t>
    </w:r>
    <w:r>
      <w:br/>
    </w:r>
    <w:r w:rsidR="00000000" w:rsidRPr="00000000" w:rsidDel="00000000">
      <w:rPr>
        <w:rtl w:val="0"/>
      </w:rPr>
      <w:t xml:space="preserve">Izdrukāts 17.10.2025.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Atzinumi_25-TA-2184.docx</dc:title>
</cp:coreProperties>
</file>

<file path=docProps/custom.xml><?xml version="1.0" encoding="utf-8"?>
<Properties xmlns="http://schemas.openxmlformats.org/officeDocument/2006/custom-properties" xmlns:vt="http://schemas.openxmlformats.org/officeDocument/2006/docPropsVTypes"/>
</file>