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25-TA-3067: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2017. gada 20. jūnija noteikumos Nr. 341 "Noteikumi par civilās aizsardzības un katastrofas pārvaldīšanas mācību veidiem un organizēšanas kārtību"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(Viedokļu pārskats 25-TA-3067)</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20.03.2026.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23.03.2026.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Administratīvo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2021. gada 7. septembra noteikumu Nr. 617 “Tiesību akta projekta sākotnējās ietekmes izvērtēšanas kārtība” (turpmāk - noteikumi Nr. 617) 14., un 15. punktu, visiem tiesību aktu projektiem ir jāvērtē ietekme uz administratīvo slogu un atbilstības prasības, kā arī jāveic to izmaksu monetārs novērtējums.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w:t>
            </w:r>
            <w:r w:rsidR="00000000" w:rsidRPr="00000000" w:rsidDel="00000000">
              <w:rPr>
                <w:b w:val="1"/>
                <w:rtl w:val="0"/>
              </w:rPr>
              <w:t xml:space="preserve">administratīvās izmaksas ir tādas izmaksas, ko rada informācijas sniegšanas pienākumi un to izpilde</w:t>
            </w:r>
            <w:r w:rsidR="00000000" w:rsidRPr="00000000" w:rsidDel="00000000">
              <w:rPr>
                <w:rtl w:val="0"/>
              </w:rPr>
              <w:t xml:space="preserve">. Attiecīgi izstrādājot tiesību aktu, ir nepieciešams identificēt tās tiesību normas, kas satur informācijas sniegšanas pienākumu, jāizanalizē vai tās satur potenciālas administratīvas izmaksas naudas un laika izteiksmē un, ja analīzes rezultāts ir apstiprinošs, ir jāveic aprēķins par izmaksām, ko rada tiesību aktā iekļautās informācijas sniegšanas prasība, izmantojot paplašināto standarta izmaksu modeli. Administratīvais slogs attiecas gan uz fiziskām un juridiskām personām, gan uz valsts un pašvaldību iestādēm, ja tiesību akts uzliek tām informācijas sniegšanas darbības, kas nav uzskatāmas par maksas pakalpojumu nodrošināšanas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tiesību akta projekta kontekstā informācijas sniegšanas prasība skaidri ir noteikta 17. punktā – mācību plānu ievietot VUGD mājaslapās.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aicinām izvērtēt un vajadzības gadījumā veikt administratīvā sloga monetāru aprēķinu šādiem MK noteikuma projekta punktiem: 5. (plāna iesniegšana apstiprināšanai Iekšlietu ministrijā), 13. (mācību pārskatu iesniegšana saskaņošanai) un 16. (mācību organizatoru informēšana par ieteikumu izpildi)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Veicot aprēķinu, nepieciešams pievienot skaidrojumu, uz kuru tiesību akta projekta punktu aprēķins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vienkāršāk būtu veikt aprēķinu, Valsts kanceleja aicina izmantot Vadlīnijās tiesību akta sākotnējās ietekmes novērtēšanai un novērtējuma ziņojuma sagatavošanai vienotajā TAP portālā (pieejamas Ministru kabineta tīmekļvietnē - https://www.mk.gov.lv/lv/media/16905/download?attachment ) 22.-25.lp ietvertos norādījumus administratīvo izmaksu monetārā novērtējuma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Indra Ciukša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25-TA-3067</w:t>
    </w:r>
    <w:r>
      <w:br/>
    </w:r>
    <w:r w:rsidR="00000000" w:rsidRPr="00000000" w:rsidDel="00000000">
      <w:rPr>
        <w:rtl w:val="0"/>
      </w:rPr>
      <w:t xml:space="preserve">Izdrukāts 20.03.2026. 17.13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25-TA-3067</w:t>
    </w:r>
    <w:r>
      <w:br/>
    </w:r>
    <w:r w:rsidR="00000000" w:rsidRPr="00000000" w:rsidDel="00000000">
      <w:rPr>
        <w:rtl w:val="0"/>
      </w:rPr>
      <w:t xml:space="preserve">Izdrukāts 20.03.2026. 17.13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Atzinumi_25-TA-3067.docx</dc:title>
</cp:coreProperties>
</file>

<file path=docProps/custom.xml><?xml version="1.0" encoding="utf-8"?>
<Properties xmlns="http://schemas.openxmlformats.org/officeDocument/2006/custom-properties" xmlns:vt="http://schemas.openxmlformats.org/officeDocument/2006/docPropsVTypes"/>
</file>