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24. februāra noteikumos Nr. 108 "Kārtība, kādā uzrauga un izvērtē Eiropas Savienības struktūrfondu un Kohēzijas fonda ieviešanu, kā arī izveido un izmanto Kohēzijas politikas fondu vadības informācijas sistēmu 2014.–2020.gadam"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20.11.2024.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20.11.2024.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Atzinumi_24-TA-1924.docx</dc:title>
</cp:coreProperties>
</file>

<file path=docProps/custom.xml><?xml version="1.0" encoding="utf-8"?>
<Properties xmlns="http://schemas.openxmlformats.org/officeDocument/2006/custom-properties" xmlns:vt="http://schemas.openxmlformats.org/officeDocument/2006/docPropsVTypes"/>
</file>