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24-TA-1719: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paredzētas arī netiešās attiecināmās izmaksas, lūdzam papildināt noteikumu projekta izdošanas pamatojumu ar Eiropas Savienības fondu 2021.—2027. gada plānošanas perioda vadības likuma 19.  panta 6. punktu, kā arī atbilstoši papildināt noteikumu projektu ar 1.6. apakšpunktu šādā redakcijā: "1.6. vienkāršoto izmaksu piemērošanas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anotācijas 1.1. sadaļas apakšsadaļu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tai katru gadu piešķirtā finansiālā kapacitāte nepārsniedz 20 procentus no pētniecības organizācijas kopējās gada finansiālās vai laika resursu kapacitātes;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gadījumā ja ierobežotas jomas darbību paredzēts vērtēt laika izteiksmē, tad 2.3.3.apakšpunkta sākumā lietotais vārds "finansiālā kapacitāte" ierobežo šo vērtējamo lielumu. Attiecīgi lūdzam izvērtēt, vai atbalsta pasākuma ietvaros ierobežotas jomas darbību paredzēts noteikt, vērtējot to laika izteiksmē vai finanšu izteiksmē, un atbilstoši precizēt noteikumu projekta 2.3.3.apakšpunktā ietverto kritēriju 2.3.apakšpunktā noteiktajai ierobežotas jomas darbības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attiecināmais ERAF finansējuma apmērs ir 85 procenti no projektam plānotā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kombinētu atbalsta  pētniecības infrastruktūras attīstības projektu gadījumā, maksimālā attiecināmā Eiropas Reģionālās attīstības fonda finansējuma apmērs nosakāms, kopsakarā vērtējot noteikumu projekta 18.un 46.punktu.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iznākumu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9.1.apakšpunktā norādītie rādītāji neatbilst ne apstiprinātajai Programmai, ne IZM plānotajiem Programmas grozījumiem. Lūgums IZM sniegt skaidrojumu un precizēt, nepieciešamības gadījumā iesniedzot arī precizējumus Programmas grozījumiem. Tāpat norādām, ka nepieciešama atbilstoša 1.1.1.SAM rādītāju pase, lūdzam to iesniegt Finanšu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(Linda Aveniņa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finansējuma saņēmēja īstenoto Eiropas Savienības Ietvara programmas pētniecības un attīstības projektu un citu starptautisku pētniecības un attīstības pētījumu projektu zinātniskās institūcijas konkursa kārtībā iegūto pētniecības un attīstības projektu finansējums šiem projektiem - 122 972 403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skaidrot un nepieciešamības gadījumā precizēt noteikumu projekta 9.2.1.punktu, norādot brīdi, no kura ir attiecināms šis nosacījums. Vai te ir domāts laika posms no projekta iesnieguma apstiprināšanas līdz 2029.gada 31.decembrim, un kā šis nacionālais rādītājs ir sasaistāms ar pasākuma ietvaros plānoto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finansējuma saņēmēja pētniecības un attīstības līgumdarbu iegūtais finansējums, tai skaitā pētniecības un attīstības līgumdarbi ar komersantiem, publiskām personām (piemēram, valsts, pašvaldība, valsts augstskola, valsts zinātniskais institūts) un citiem pasūtītājiem (piemēram, fiziska persona, biedrība, nodibinājums) un ieņēmumi no intelektuālā īpašuma tiesību nodošanas, kā arī finansējums, ko zinātniskā institūcija ieguvusi no starptautiskajiem pētniecības un attīstības līgumdarbiem - 73 923 868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skaidrot un nepieciešamības gadījumā precizēt noteikumu projekta 9.2.2.punktu, norādot brīdi, no kura ir attiecināms šis nosacījums. Vai te ir domāts laika posms no projekta iesnieguma apstiprināšanas līdz 2029.gada 31.decembrim, un kā šis nacionālais rādītājs ir sasaistāms ar pasākuma ietvaros plānoto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Kohēzijas politikas fondu vadības un informācijas sistēmā finansējuma saņēmējam ir jāuzkrāj šādi RIS3 rādītāji katrā no RIS3 jomām sadalījumā pa labuma guvēju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10.2. un 10.5-10.8.apakšpunktos norādītie RIS3 radītāja nosaukumi neatbilst RIS3 rādītāju sarakstā iekļautajiem (skat. Ekonomikas ministrijas izstrādātās un ar IZM saskaņotās Vadlīnijas par viedās specializācijas stratēģijas jomas noteikšanu un monitoringa veikšanu). Attiecīgi RIS3 rādītāju saraksts pārskatāms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finansējuma saņēmējam un projekta sadarbības partnerim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projektā noteiktajām prasībām finansējuma saņēmējiem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kā un kāda veidā tiks nodrošināti Programmas 56. paragrāfa c) punktā noteiktie atbalsta saņemšanas aspekti  RIS3 P&amp;I centru attīstībai un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kā un kādā veidā tiek ņemti vērā nacionālās nozīmes pētniecības infrastruktūras kartējuma secinājumi (FIDEA, 2023), kas norāda uz neefektīvu ESIF investīciju ieguldījumu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lietojuma ziņā kopumā zinātnes infrastruktūra infrastruktūra Latvijā nav noslogota jeb 70% zinātniskās infrastruktūras tiek noslogota mazāk par 60% no tās kapacitātes (16% no infrastruktūras tiek noslogota tikai par 0-10% , 12% infrastruktūras - 10-20%, 15% infrastruktūras - 20-40%, un 25% - 40-60% noslogojums; tikai 18 % infrastruktūras noslogojums ir ap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unikalitātes ziņā 65 % no zinātniskās infrastruktūras tiek atzītas par unikālām tikai Latvijas teritorijā; 30% -Baltijas valstu mērogā un tikai 10%- Eiropas mērogā, tai pat laikā 23% infrastruktūras šāds novērtējums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kā un kādā veidā tiek ņemtas vērā nacionālās nozīmes pētniecības infrastruktūras kartējuma ieteikumi, piemēram, prasība finansējuma saņēmējam iesniedzot projekta iesniegumu demonstrēt plānu, kā tas nākotnē segs zinātniskās infrastruktūras uzturēšanas izmaksas, piesaistot līgumpētījumus utt; ieteikums attīstīt tādu infrastruktūru (core infrastructure), kas nodrošina pasaules klases P&amp;A pakalpojumus un ekspertīzi (National research infrastructure analysis (izm.gov.lv))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šo noteikumu projekta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Katram projekta iesniedzējam un sadarbības partnerim plānotais kopējais attiecināmais finansējums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skaidrot, balstoties uz kādiem kritērijiem ir veikts finansējuma sadalījums starp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Latvijas Biozinātņu un tehnoloģiju universitātei – 3 073 679 </w:t>
            </w:r>
            <w:r w:rsidR="00000000" w:rsidRPr="00000000" w:rsidDel="00000000">
              <w:rPr>
                <w:i w:val="1"/>
                <w:rtl w:val="0"/>
              </w:rPr>
              <w:t xml:space="preserve">euro</w:t>
            </w:r>
            <w:r w:rsidR="00000000" w:rsidRPr="00000000" w:rsidDel="00000000">
              <w:rPr>
                <w:rtl w:val="0"/>
              </w:rPr>
              <w:t xml:space="preserve">, tostarp: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18.3., 18.5., 19.3. un 19.5.apakšpunktā neveidojas korekta kopsumma summējot finansējumu pa apakšpunktiem. Līdz ar to lūdzam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projekta komunikācijas un vizuālās identitātes prasību, tai skaitā minimālās stratēģiski svarīgo projektu komunikācijas pasākumu, nodrošināšanas izmaksas saskaņā ar regulas Nr.  2021/1060 47. un 50. pantu un atbilstoši normatīvajiem aktiem par kārtību, kādā Eiropas Savienības fondu vadībā iesaistītās institūcijas nodrošina šo fondu ieviešanu 2021.–2027. gada plānošanas periodā šo noteikumu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minētās atbalstāmās darbības īstenošanai. Ja projektam sniegtais atbalsts ir uzskatāms par komercdarbības atbalstu, publicitātes izmaksas var būt attiecināmas projekta ietvaros, taču publiskā finansējuma piešķiršana tam nekvalificējas kā komercdarbības atbalsts un publicitātes izmaksas nevar segt saskaņā ar regulas Nr. 651/2014 53.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pasākuma ietvaros komercdarbības atbalstu paredzēts sniegt saskaņā ar Komisijas 2014.gada 17.jūnija Regulas (ES) Nr. 651/2014, ar ko noteiktas atbalsta kategorijas atzīst par saderīgām ar iekšējo tirgu, piemērojot Līguma 107. un 108. pantu, (turpmāk – Komisijas regula Nr.651/2014) 26.pantu, nav skaidrs, kādēļ noteikumu projekta 34.2.apakšpunktā ir ietverta atsauce uz Komisijas regulas Nr.651/2014 53.pantu. Attiecīgi aicinām šo punktu pārskatīt un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34.4.2. projekta vadības personāla atlīdzības izmaksām tiek plānots finansējums līdz 84 787 </w:t>
            </w:r>
            <w:r w:rsidR="00000000" w:rsidRPr="00000000" w:rsidDel="00000000">
              <w:rPr>
                <w:i w:val="1"/>
                <w:rtl w:val="0"/>
              </w:rPr>
              <w:t xml:space="preserve">euro</w:t>
            </w:r>
            <w:r w:rsidR="00000000" w:rsidRPr="00000000" w:rsidDel="00000000">
              <w:rPr>
                <w:rtl w:val="0"/>
              </w:rPr>
              <w:t xml:space="preserve"> kalendārajā gadā. Vienlaikus projekta vadības personāla atlīdzības izmaksas kopsummā sastāda ne vairāk kā 5 procentus no projekta kopējām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vadošās iestādes vadlīnijām Nr. 1.2. </w:t>
            </w:r>
            <w:r w:rsidR="00000000" w:rsidRPr="00000000" w:rsidDel="00000000">
              <w:rPr>
                <w:i w:val="1"/>
                <w:rtl w:val="0"/>
              </w:rPr>
              <w:t xml:space="preserve">"Vadlīnijas attiecināmo izmaksu noteikšanai Eiropas Savienības kohēzijas politikas programmas 2021.-2027.gada plānošanas periodā"</w:t>
            </w:r>
            <w:r w:rsidR="00000000" w:rsidRPr="00000000" w:rsidDel="00000000">
              <w:rPr>
                <w:rtl w:val="0"/>
              </w:rPr>
              <w:t xml:space="preserve"> Eiropas Reģionālās attīstības fonda līdzfinansētajiem projektiem tiek noteikts maksimālais ierobežojums tiešajām projekta vadības personāla izmaksām līdz fiksētajai summai: projektiem ar tiešajām attiecināmajām izmaksām virs 5 milj. euro personāla izmaksu ES fondu daļas ierobežojums tiek noteikts kā fiksēta summa līdz 84 787 euro kalendārajā gadā. Savukārt projektos, kuros tiešās attiecināmās izmaksas ir līdz 5 milj. euro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(Linda Aveniņa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projekta īstenošanas gaitā radušās sadārdzinājuma izmaksas finansējuma saņēmējs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finansējuma saņēmējs attiecībā uz projekta daļu, kurai atbalsts sniegts saskaņā ar Komisijas regulas Nr.651/2014 26.pantu, radušās sadārdzinājuma izmaksas nesedz no citiem publiskajiem līdzekļiem, lūdzam papildināt noteikumu projekta 39.1.apakšpunktu, aiz vārdiem "no saviem līdzekļiem" papildinot ar vārdiem "kas brīvi no jebkāda komercdarbības atbalsta" un attiecinot uz kombinēto projektu saimniecisko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nodrošina sasniegto rezultātu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kas šī pasākuma kontekstā saprotams ar sasniegto rezultātu ilgtspējas nodrošināšanu, tāpat lūdzam noteikumu projekta 39.5.apakšpunktā un anotācijā norādīt laika periodu, cik ilgi ir jānodrošina rezultātu ilgtspēja.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saskaņā ar atbildīgās iestādes izstrādāto papildinošas saimnieciskās darbības uzraudzības metodiku nodrošina veikto investīciju atbilstības uzraudzību visā projekta dzīves ciklā. Finansējuma saņēmējs visā projekta dzīves ciklā ik gadu sagatavo pārskatu par papildinošas saimnieciskās darbības apjomu un nodrošina šajā punktā minēto pārskatu un aprēķinus pamatojošo dokumentu pieejamību papildinošas saimnieciskās darbības uzraudzībai. Ja finansējuma saņēmējs konstatē, ka ir pārsniegts 20 procentu ierobežojums no infrastruktūras gada jaudas platības,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visiem projektu iesniedzējiem nodrošinātu skaidrus nosacījumus, lūdzam norādīt, ka papildinošās saimnieciskās darbības metodiku atbildīgā iestāde izstrādās līdz atlases izsludināšanai.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Ausmane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pasākuma ietvaros komercdarbības atbalstu plānots piešķirt saskaņā ar Komisijas regulas Nr.651/2014 26.pantu, noteikumu projektā nepieciešams paredzēt nosacījumu par nelikumīgā komercdarbības atbalsta atgūšanu gadījumos, kad tiek pārkāpti Komisijas regulas Nr.651/2014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pasākuma ietvaros komercdarbības atbalstu plānots piešķirt saskaņā ar Komisijas regulas Nr.651/2014 26.pantu, noteikumu projektā nepieciešams paredzēt nosacījumu par dokumentu glabāšanu, kas izriet no Komisijas regulas Nr.651/2014 12.panta. Turklāt atbalsta uzskaites veikšana un informācijas uzglabāšana atbalsta sniedzējam 10 gadus no pēdējā atbalsta piešķiršanas saskaņā ar shēmu un atbalsta saņēmējam 10 gadus no atbalsta piešķiršanas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pasākuma ietvaros komercdarbības atbalstu plānots piešķirt saskaņā ar Komisijas regulas Nr.651/2014 26.pantu, aicinām papildināt noteikumu projektu ar nosacījumu, ka tiek publicēta informācija, kas noteikta Komisijas regulas Nr.651/2014 9.panta 1. un 4.punktā, norādot arī to, kam ir pienākums šo informāciju publicēt.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skaidru nosacījumu, no kura izriet tas, kas šī atbalsta pasākuma ietvaros ir uzskatāms par komercdarbības atbalsta piešķiršanas brīdi. Skaidrojam, ka atbilstoši Komisijas regulas Nr.651/2014 2.panta 28.punktam atbalsta piešķiršanas diena ir diena, kad atbalsta saņēmējam saskaņā ar piemērojamo valsts tiesisko regulējumu ir nodotas likumīgās tiesības saņemt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komercdarbības atbalstu plānots piešķirt saskaņā ar Komisijas regulas Nr.651/2014 26.pantu, aicinām noteikumu projektu papildināt ar nosacījumu, ka ir pārbaudāma projekta iesniedzēja un sadarbības partnera atbilstība šādām prasībām, vērtējot tos uzņēmuma grupas līmenī. Proti, atbilstību Komisijas regulas Nr.651/2014 2.panta 18.punkta nosacījumiem un Komisijas regulas Nr.651/2014 1.panta 4.punkta a) apakšpunkta nosacījumiem. Skaidrojam, ka tie ir jāvērtē/jāpiemēro uzņēmuma grupas līmenī, jo Komisijas regulas Nr.651/2014 angliskajā versijā nosacījumi, kas ir attiecināmi uz ‘undertaking’, ir jāpārbauda/jāpiemēro uzņēmuma grupas līmenī. Attiecīgi lūdzam papildināt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arī Eiropas komisijas regulas Nr.65/2014 26.panta 7.punktā minēto, paredzot, ka atbildīgā iestāde uzraudzības un atgūšanas mehānismu izstrādās līdz atlases sākumam, lai projekta iesniedzējiem būtu zināmi visi nosacījumi jau projektu sagatavošanas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Ausmane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49.5.2. finansējuma saņēmējs ievēro šo noteikumu </w:t>
            </w:r>
            <w:r w:rsidR="00000000" w:rsidRPr="00000000" w:rsidDel="00000000">
              <w:rPr>
                <w:rtl w:val="0"/>
              </w:rPr>
              <w:t xml:space="preserve">50.1.3. </w:t>
            </w:r>
            <w:r w:rsidR="00000000" w:rsidRPr="00000000" w:rsidDel="00000000">
              <w:rPr>
                <w:rtl w:val="0"/>
              </w:rPr>
              <w:t xml:space="preserve">apakšpunktā</w:t>
            </w:r>
            <w:r w:rsidR="00000000" w:rsidRPr="00000000" w:rsidDel="00000000">
              <w:rPr>
                <w:rtl w:val="0"/>
              </w:rPr>
              <w:t xml:space="preserve"> minētos stimulējošas ietekmes nosacījumus un darbības ir uzsāktas pēc projekta iesnieguma iesniegšanas sadarbības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49.5.2.apakšpunktu, tā, lai pilnībā ievērotu visas no stimulējošas ietekmes nosacījumiem izrietošās prasības, proti, ietverot tajā arī no Komisijas regulas Nr.651/2014 2.panta 23.punkta izrietošo darbu sākuma definīciju, kā arī nosacījumu pa to, ka, ja projekta īstenošana ir uzsākta pirms projekta iesnieguma iesniegšanas, projekta iesniegums ir noraidāms kopumā un komercdarbības atbalstu tam piešķirt nav pieļaujams. Atbilstoši lūdzam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50.1.2. šo noteikumu </w:t>
            </w:r>
            <w:r w:rsidR="00000000" w:rsidRPr="00000000" w:rsidDel="00000000">
              <w:rPr>
                <w:rtl w:val="0"/>
              </w:rPr>
              <w:t xml:space="preserve">31.1.</w:t>
            </w:r>
            <w:r w:rsidR="00000000" w:rsidRPr="00000000" w:rsidDel="00000000">
              <w:rPr>
                <w:rtl w:val="0"/>
              </w:rPr>
              <w:t xml:space="preserve"> , </w:t>
            </w:r>
            <w:r w:rsidR="00000000" w:rsidRPr="00000000" w:rsidDel="00000000">
              <w:rPr>
                <w:rtl w:val="0"/>
              </w:rPr>
              <w:t xml:space="preserve">31.2.</w:t>
            </w:r>
            <w:r w:rsidR="00000000" w:rsidRPr="00000000" w:rsidDel="00000000">
              <w:rPr>
                <w:rtl w:val="0"/>
              </w:rPr>
              <w:t xml:space="preserve"> ​​​​​​​ un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 minētajām atbalstāmajām darbībām, ievērojot šo noteikumu </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49. </w:t>
            </w:r>
            <w:r w:rsidR="00000000" w:rsidRPr="00000000" w:rsidDel="00000000">
              <w:rPr>
                <w:rtl w:val="0"/>
              </w:rPr>
              <w:t xml:space="preserve">punkta</w:t>
            </w:r>
            <w:r w:rsidR="00000000" w:rsidRPr="00000000" w:rsidDel="00000000">
              <w:rPr>
                <w:rtl w:val="0"/>
              </w:rPr>
              <w:t xml:space="preserve"> un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50.punkts paredz finansēšanas nosacījumus kombinēta atbalsta projekta ar saimniecisko darbību saistītas projekta daļas ietvaros, aicinām pārskatīt un precizēt 50.1.2.apakšpunktā lietotās atsauces, jo, piemēram, 31.1.apakšpunktā ietvertā atbalstāmā darbība - projekta tehniski ekonomiskā priekšizpēte, attiecas uz atbalsta projekta daļu, kas nav saistīta ar saimniecisko 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 finansējuma saņēmējs un sadarbības partneris nodrošina Regulas Nr. 651/2014 26. panta 2. un 3. punktā noteikto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pasākuma ietvaros atbalstu nav plānots piešķirt lieliem uzņēmumiem piešķiramam ad hoc atbalstam, aicinām dzēst 50.3.apakšpunktā ietverto atsauci uz Komisijas regulas Nr.651/2014 3.punktu.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2.pielikums "Kombinēta atbalsta veida projekta, finansējuma saņēmēja un sadarbības partnera apakšprojekta vidējās svērtās publiskā finansējuma intensitātes aprēķināšanas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saprotams ar noteikumu projekta 2. pielikumā minēto </w:t>
            </w:r>
            <w:r w:rsidR="00000000" w:rsidRPr="00000000" w:rsidDel="00000000">
              <w:rPr>
                <w:u w:val="single"/>
                <w:rtl w:val="0"/>
              </w:rPr>
              <w:t xml:space="preserve">apakšprojektu</w:t>
            </w:r>
            <w:r w:rsidR="00000000" w:rsidRPr="00000000" w:rsidDel="00000000">
              <w:rPr>
                <w:rtl w:val="0"/>
              </w:rPr>
              <w:t xml:space="preserve">, ņemot vērā, ka ES fondus regulējošajos normatīvajos aktos šāds jēdziens netiek lietots. Lūdzam izvērtēt un atbilstoši precizēt noteikumu projekta 2.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ietvert anotācijā arī informāciju par demarkāciju un dubultfinansējuma riska novēršanu attiecībā uz anotācijā minētajiem ES fondu 2014. - 2020.gada plānošanas perioda 1.1.1.4.pasākumu un ES fondu 2021. - 2027.gada plānošanas perioda 1.1.1.6.pasākumu.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(Linda Aveniņa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no kādiem līdzekļiem paredzēta ieguldījumu un sasniegto rezultātu ilgtspējas nodrošināšana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(Linda Aveniņa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plānotajām investīcijām būs tieša, netieša, vai nebūs ietekmes uz horizontālajiem principiem (HP):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(Linda Aveniņa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anotācijas sadaļā "Risinājuma apraksts" ietverto plānoto pasākuma konceptu un pamatojumu ieguldījumu veikšanai zinātnes infrastruktūrā, vēršam IZM uzmanību, ka pasākuma koncepts neatbilst Programmā plānotajam attiecībā uz RIS3 P&amp;A&amp;I centriem centriem, kas saņēmuši Horizon Europe </w:t>
            </w:r>
            <w:r w:rsidR="00000000" w:rsidRPr="00000000" w:rsidDel="00000000">
              <w:rPr>
                <w:i w:val="1"/>
                <w:rtl w:val="0"/>
              </w:rPr>
              <w:t xml:space="preserve">seal of excellence;</w:t>
            </w:r>
            <w:r w:rsidR="00000000" w:rsidRPr="00000000" w:rsidDel="00000000">
              <w:rPr>
                <w:rtl w:val="0"/>
              </w:rPr>
              <w:t xml:space="preserve"> kritēriji atbalsta saņemšanai kopumā neveicina unikālas zinātniskās infrastruktūras izveidi ne Baltijas valstu/ Baltijas jūras reģiona, ne ES līmenī, kas nākotnē radītu konkurētspējas priekšrocības un veicinātu zinātniskās infrastruktūras noslodzi, zinātnisko institūciju savstarpējo sadarbību, t.sk. veicinātu ārējo lietotāju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Pilnam situācijas izklāstam, lūdzam IZM anotācijas sadaļā "Pašreizējā situācija" iekļaut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2 Horizon Europe projektiem- ES līmeņa izcilības centriem, kas līdzfinansēti no ES fondu 2014.-2020.gada plānošanas perioda 1.1.1.4.pasākuma līdzekļiem un piesaistījuši Latvijai papildus līdzfinansējumu no ES- CAMART un BBCE, norādot arī piesaistītā līdzfinansējuma apmēru milj, eur un galvenaos sasniegtos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ES fondu 2014.-2020.gada plānošanas perioda 1.PV ex-post (14-20) izvērtējuma secinājumiem un rekomendācijām, kas attiecināmi uz ieguldījumiem zinātnes infrastrukturā.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Kontekstā ar noteikumu projekta 9.2.1.apakšpunktā norādīto nacionālo rādītāju, lūdzam IZM anotācijā iekļaut informāciju par ES fondu 2014.-2020.gada plānošanas periodā noteikumu projekta 17.punktā uzskaitīto finansējuma saņēmēju īstenoto Eiropas Savienības Ietvara programmas P&amp;A projektu zinātniskās institūcijas konkursa kārtībā iegūto pētniecības un attīstības projektu finansējumu, lai no noteikumu projektā iekļautās informācijas varētu novērtēt, vai plānots kāds progress šī snieguma līmeņa noturēšanai un/vai 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2.Kontekstā ar noteikumu projekta 9.2.2. apakšpunktā norādīto nacionālo rādītāju, lūdzam IZM anotācijā iekļaut informāciju par ES fondu 2014.-2020.gada plānošanas periodā noteikumu projekta 17.punktā uzskaitīto finansējuma saņēmēju P&amp;A līgumdarbu iegūto finansējumu, lai no noteikumu projektā iekļautās informācijas varētu novērtēt, vai plānots kāds progress šī snieguma līmeņa noturēšanai un/vai 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"Tiesību akta projekta ietekme uz valsts budžetu un pašvaldību budžetiem" 6.1. un 6.2.apakšpunktā ir precizējams finansējuma apmērs sadalījumā pa gadiem un finansējuma avotiem, atbilstoši Ministru kabineta noteikumu projekta 5. un 7.punktā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"Tiesību akta projekta ietekme uz valsts budžetu un pašvaldību budžetiem" 5.1.apakšpunktā 3.,5., 7. un 8.kolonnā ir precizējama informācija atbilstoši 5.punktā norādītajai.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pasākums tostarp tiek ieviests saskaņā ar Komisijas regulu Nr.651/2014, atbilstoši tās 11.pantam par pasākumu ir jāiesniedz kopsavilkuma informācija Eiropas Komisijai. Attiecīgi aicinām papildināt anotāciju ar informāciju, ka, izmantojot Eiropas Komisijas elektroniskās paziņošanas sistēmu, 20 darbdienu laikā no atbalsta pasākuma stāšanās spēkā Izglītības un zinātnes ministrija par atbalsta pasākumu nosūtīs kopsavilkuma informāciju II pielikumā noteiktajā standartizētajā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izvērtēt izvērtējuma “Vienkāršoto izmaksu piemērošanas iespējas 2021.-2027. gada ES fondu plānošanas periodā” piedāvātās iespējas saistībā ar 1.1.1.2.pasākumu. Pieejams -https://www.esfondi.lv/profesionaliem/izvertesana/izvertejumi/2021-2027-gada-periods.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(Linda Aveniņa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dzīves cikls – projekta ekonomiski derīgais laikposms, kas atbilst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15. panta 2. punktā un I pielikumā noteiktajam projekta pārskata periodam;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2.9. apakšpunktā ietverto norādi uz Komisijas 2014. gada 3. marta Deleģēto regulu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ņemot vērā, ka minētā regula attiecas uz ES fondu 2014.-2020. gada plānošanas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Kohēzijas politikas fondu vadības un informācijas sistēmā finansējuma saņēmējam ir jāuzkrāj šādi RIS3 rādītāji katrā no RIS3 jomām sadalījumā pa labuma guvēju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 gada 13. decembra noteikumos Nr. 770 "Kārtība, kādā Eiropas Savienības fondu 2021.–2027. gada plānošanas periodā nodrošina ieguldījumu uzraudzību un izvērtēšanu, kā arī izstrādā un uztur Kohēzijas politikas fondu vadības informācijas sistēmu" noteikto informācijas sistēmas nosaukumu, lūdzam precizēt noteikumu projekta 10. punkta ievaddaļā minēto Kohēzijas politikas fondu vadības informācijas sistēmas nosaukumu, t.i., svītrojot vārdu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Katram projekta iesniedzējam un sadarbības partnerim pieejamais kopējais attiecināmais finansējums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ar ko atšķiras noteikumu projekta 18.un 19.punkti.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stratēģiski svarīgā projekta komunikācijas plānu, kas paredz nodrošināt vismaz viena plašāka mēroga publicitātes pasākumu mediju intereses un sabiedrības uzmanības piesaistīšanai.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noteikumu projektā noteikt, vai visi 1.1.1.2. pasākuma projekti ir uzskatāmi par stratēģiski svarīgiem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(Linda Aveniņa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tā nodokļu parādu, valsts sociālās apdrošināšanas obligāto iemaksu un citu valsts noteikto obligāto maksājumu parādu apmērs nepārsniedz 150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26.1. apakšpunkta nepieciešamību, ņemot vērā, Eiropas Savienības fondu 2021.—2027. gada plānošanas perioda vadības likuma 22. panta pirmās daļas 1. punkta "d" apakšpunktā kā viens no finansējuma saņēmēja izslēgšanas noteikumiem minēta izvairīšanās no nodokļu un tiem pielīdzināto maksājumu samaksas, kas kontekstā ar likuma "Par nodokļiem un nodevām" 18. panta pirmās daļas 8. punktu ir gadījums, kad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minētā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minētā likuma 41.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Pasākuma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 punkta izriet, ka darbībām (t.i. projektiem), </w:t>
            </w:r>
            <w:r w:rsidR="00000000" w:rsidRPr="00000000" w:rsidDel="00000000">
              <w:rPr>
                <w:u w:val="single"/>
                <w:rtl w:val="0"/>
              </w:rPr>
              <w:t xml:space="preserve">kuru kopējās izmaksas ir mazākas nekā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w:t>
            </w:r>
            <w:r w:rsidR="00000000" w:rsidRPr="00000000" w:rsidDel="00000000">
              <w:rPr>
                <w:rtl w:val="0"/>
              </w:rPr>
              <w:t xml:space="preserve">; savukārt no "ii" punkta izriet, ka darbībām (t.i. projektiem), </w:t>
            </w:r>
            <w:r w:rsidR="00000000" w:rsidRPr="00000000" w:rsidDel="00000000">
              <w:rPr>
                <w:u w:val="single"/>
                <w:rtl w:val="0"/>
              </w:rPr>
              <w:t xml:space="preserve">kuru kopējās izmaksas ir vismaz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 gadījumos, kad tas nav atgūstams saskaņā ar pievienotās vērtības nodokli reglamentējošiem valsts tiesību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nepieciešamību precizēt noteikumu projekta 36. punktu, ņemot vērā, ka no noteikumu projekta 18. punkta izriet, ka plānots īstenot arī projektus,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izvērtēt un skaidrot, kura nozares iestāde tiks papildus iesaistīta projektu rezultātu virsuzraudzības procesā. Nepieciešamības gadījumā aicinām papildināt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(Linda Aveniņa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ieguldījumus veic infrastruktūrā, ja tā ir finansējuma saņēmēja vai sadarbības partnera īpašumā vai tā ir valsts vai atvasinātas publiskas personas manta, kas ir finansējuma saņēmēja vai sadarbības partnera valdījumā vai lietojumā uz termiņu, kas nav īsāks par pieciem gadiem pēc noslēguma maksājuma veikšanas. Valdījuma vai lietošanas tiesības ir reģistrētas Valsts vienotajā datorizētajā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40.4. apakšpunktu ar norādi, ka Valsts vienotajā datorizētajā zemesgrāmatā jābūt reģistrētām ne tikai finansējuma saņēmējam vai sadarbības partnerim piemītošajām </w:t>
            </w:r>
            <w:r w:rsidR="00000000" w:rsidRPr="00000000" w:rsidDel="00000000">
              <w:rPr>
                <w:u w:val="single"/>
                <w:rtl w:val="0"/>
              </w:rPr>
              <w:t xml:space="preserve">valdījuma vai lietošanas tiesībām</w:t>
            </w:r>
            <w:r w:rsidR="00000000" w:rsidRPr="00000000" w:rsidDel="00000000">
              <w:rPr>
                <w:rtl w:val="0"/>
              </w:rPr>
              <w:t xml:space="preserve"> (ja ieguldījums tiek veikts valsts vai atvasinātas publiskas personas mantā), bet arī </w:t>
            </w:r>
            <w:r w:rsidR="00000000" w:rsidRPr="00000000" w:rsidDel="00000000">
              <w:rPr>
                <w:u w:val="single"/>
                <w:rtl w:val="0"/>
              </w:rPr>
              <w:t xml:space="preserve">īpašumtiesībām</w:t>
            </w:r>
            <w:r w:rsidR="00000000" w:rsidRPr="00000000" w:rsidDel="00000000">
              <w:rPr>
                <w:rtl w:val="0"/>
              </w:rPr>
              <w:t xml:space="preserve"> kopumā gadījumā, ja ieguldījumus veic infrastruktūrā, kas ir finansējuma saņēmēja vai sadarbības partnera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tiesībām uz konkrēto objektu vai īpašumu jābūt nostiprinātām Valsts vienotajā datorizētajā zemesgrāmatā, ja vien minētajam nosacījumam saskaņā ar nacionālo regulējumu nav noteikts izņēmums. Ja šāds izņēmums pastāv, tas attiecīgi aprakstāms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un aicinām izvērtēt risku, ņemot vērā, ka gadījumā, ja sadarbības partneris projekta īstenošanas vai pēcuzraudzības laikā tiks nomainīts, bet ieguldījumi būs veikti tā īpašumā (tostarp valdījumā, lietojumā) esošā infrastruktūrā, tas rada projekta būtisku izmaiņu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Lai atbalsts infrastruktūrai ar saimniecisko darbību nesaistīta projekta ietvaros netiktu kvalificēts kā komercdarbības atbalsts, infrastruktūrā pamatlīdzekļu un ilgtermiņa ieguldījumu amortizācijas periodā ir pieļaujams veikt papildinošu saimniecisko darbību ne vairāk kā 20 procentu apmērā no infrastruktūras gada jaudas platības, laika vai finanšu izteiksmē un ir pieļaujams sniegt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vienādu terminoloģiju attiecībā uz papildinošo saimniecisko darbību, jo noteikumu 2.3.punktā tiek definēta ierobežotas jomas darbība, bet tekstā lietots termins "papildinošā saimnieciskā darbība", kā arī lūdzam izvērtēt, vai platības metode varēs tikt izmantota, ja pamatā ir plānota aprīkojuma iegāde.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punktu vai anotāciju ar sekojošo: "Sadarbības iestādei ir tiesības finansējuma saņēmējam pieprasīt iesniegt papildinošās saimnieciskās darbības pārskatus projekta dzīves cikla laikā, tai skaitā gadījumos, kad saņemta informācija par PSD un PP nosacījumu pārkāpumu no finansējuma saņēmēja, kompetentām iestādēm vai no trešajām personām.", lai nodrošinātu, ka sadarbības iestāde var veikt izlases kārtības un/vai ārpuskārtas pārbaudes PSD kontrolei.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Ausmane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 ir attiecināmas šo noteikumu </w:t>
            </w:r>
            <w:r w:rsidR="00000000" w:rsidRPr="00000000" w:rsidDel="00000000">
              <w:rPr>
                <w:rtl w:val="0"/>
              </w:rPr>
              <w:t xml:space="preserve">34.4.</w:t>
            </w:r>
            <w:r w:rsidR="00000000" w:rsidRPr="00000000" w:rsidDel="00000000">
              <w:rPr>
                <w:rtl w:val="0"/>
              </w:rPr>
              <w:t xml:space="preserve"> un </w:t>
            </w:r>
            <w:r w:rsidR="00000000" w:rsidRPr="00000000" w:rsidDel="00000000">
              <w:rPr>
                <w:rtl w:val="0"/>
              </w:rPr>
              <w:t xml:space="preserve">34.5. </w:t>
            </w:r>
            <w:r w:rsidR="00000000" w:rsidRPr="00000000" w:rsidDel="00000000">
              <w:rPr>
                <w:rtl w:val="0"/>
              </w:rPr>
              <w:t xml:space="preserve">apakšpunktā</w:t>
            </w:r>
            <w:r w:rsidR="00000000" w:rsidRPr="00000000" w:rsidDel="00000000">
              <w:rPr>
                <w:rtl w:val="0"/>
              </w:rPr>
              <w:t xml:space="preserve"> minētās projekta vadības un īstenošanas nodrošināšanas izmaksas,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būtības izriet, ka noteikumu projekta 49.5.apakšpunkts ir 49.4.apakšpunkta apakšpunkts, aicinām precizēt noteikumu projekta struktūru.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2.pielikums "Kombinēta atbalsta veida projekta, finansējuma saņēmēja un sadarbības partnera apakšprojekta vidējās svērtās publiskā finansējuma intensitātes aprēķināšanas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 pielikumā lietoti jēdzieni "informācijas un publicitātes pasākumi" un "Projekta publicitātes pasākumi". Lūdzam tos salāgot ar noteikumu projektā lietoto jēdzienu "komunikācijas un vizuālās identitātes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gan 1., gan 2. pielikumu, </w:t>
            </w:r>
            <w:r w:rsidR="00000000" w:rsidRPr="00000000" w:rsidDel="00000000">
              <w:rPr>
                <w:b w:val="1"/>
                <w:rtl w:val="0"/>
              </w:rPr>
              <w:t xml:space="preserve">nenorādot neattiecināmās izmaksas</w:t>
            </w:r>
            <w:r w:rsidR="00000000" w:rsidRPr="00000000" w:rsidDel="00000000">
              <w:rPr>
                <w:rtl w:val="0"/>
              </w:rPr>
              <w:t xml:space="preserve">, ņemot vērā to, ka ES fondu 2021.-2027. gada plānošanas periodā projektos vairs netiek iekļautas neattiecināmās izmaksas. Proti, Ministru kabineta 2022. gada 25. janvāra sēdes protokollēmumā (prot. Nr. 4 24. § 4. punkts) noteikts, ka </w:t>
            </w:r>
            <w:r w:rsidR="00000000" w:rsidRPr="00000000" w:rsidDel="00000000">
              <w:rPr>
                <w:i w:val="1"/>
                <w:rtl w:val="0"/>
              </w:rPr>
              <w:t xml:space="preserve">nozares ministrijas specifiskā atbalsta mērķa, Eiropas Savienības fonda projekta plānošanas un īstenošanas posmā, tai skaitā veicot grozījumus specifiskā atbalsta mērķa īstenošanas kārtībā vai Eiropas Savienības fonda projektā, neplāno neattiecināmās izmaksas, tas ir, izmaksas, kas nav saskaņā ar specifiskā atbalsta mērķa īstenošanas nosacījumiem vai pārsniedz pieejamo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īpaši pamatotos gadījumos ar atsevišķu Ministru kabineta lēmumu var lemt par neattiecināmajām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pārskatīt arī citu noteikumu projekta 2. pielikumā lietoto terminoloģiju un pēc nepieciešamības salāgot to ar noteikumu projektā lietoto.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1.3.sadaļā norādīt arī plānošanas dokumentu rādītāju skaitliskās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(Linda Aveniņa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informāciju par attiecīgās nozares/ jomas pārstāvošu biedrību, nodibinājumu, nevalstisko organizāciju iesaisti noteikumu projekta izstrādē, lai izpildītu Ministru prezidenta 2021.gada 7.septembra rezolūciju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lūdzam sagatavot un sniegt informāciju par sabiedrības pārstāvju iesaisti normatīvā regulējuma izstrādē Nevalstisko organizāciju un Ministru kabineta sadarbības memoranda īstenošanas padomes sekretariātam".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(Linda Aveniņa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ar informāciju, ka gadījumos, kur plānota jaunas infrastruktūras būvniecība, ieguldījumi plānoti saskaņā ar Jauno Eiropas Bauhaus iniciatīvu.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(Linda Aveniņa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paredzēti ieguldījumi izglītības infrastruktūrā, tad lūdzam IZM izvērtēt un nepieciešamības gadījumā anotācijā ietvert informāciju par atbilstību Apvienoto Nāciju organizācijas Konvencijas par personu ar invaliditāti tiesībām prasībām , tostarp 4. un 5. vispārīgajam komentāram un Konvencijas par personu ar invaliditāti tiesībām komitejas noslēguma apsvērumiem,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izpratnes veicināšanas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investīcijas nepieciešams nodrošināt atbilstību nacionālajai nozares politikai un ES politikai un tiesiskajam regulējumam, lai nodrošinātu atbilstību cilvēktiesību prasībām, proti, Eiropas Savienības Pamattiesību hartai, Eiropas Sociālo tiesību pīlāram un Stratēģijai par personu ar invaliditāti tiesībām 2021.–2030. gadam, un Izglītības attīstības pamatnostādnēm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(Linda Aveniņa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noteikumu projekta 24.1.apakšpunkta informāciju, aicinām IZM papildināt anotācijas sadaļā "Risinājuma apraksts"  ietverto informāciju, ar to, kas un pie kādiem nosacījumiem veic izmaksu-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anotācijas sadaļā "Risinājuma apraksts" ietverto un aprakstīto nacionālo rādītāju ( </w:t>
            </w:r>
            <w:r w:rsidR="00000000" w:rsidRPr="00000000" w:rsidDel="00000000">
              <w:rPr>
                <w:i w:val="1"/>
                <w:rtl w:val="0"/>
              </w:rPr>
              <w:t xml:space="preserve">finansējuma saņēmēja iepriekšējos trijos finansēšanas periodos pētniecības un attīstības līgumdarbu iegūtais finansējums [..]),</w:t>
            </w:r>
            <w:r w:rsidR="00000000" w:rsidRPr="00000000" w:rsidDel="00000000">
              <w:rPr>
                <w:rtl w:val="0"/>
              </w:rPr>
              <w:t xml:space="preserve"> lūdzam skaidrot kāpēc tiek noteiktas tādas rādītāja  "sasniedzamās" vērtības, kas nav attiecināmas uz nākotnes scenāriju, bet gan uz pagātni. Tāpat vēršam uzmanību, ka anotācijā iekļautā nacionālā rādītāja nosaukums pēc būtības atšķiras no noteikumu projekta 9.2.2.apakšpunktā iekļautā?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šīs anotācijas sadaļā iekļautajiem secinājumiem no nacionālā zinātniskās infrastruktūras kartējuma (2023), aicinām IZM labākai situācijas ar zinātniskās infrastruktūru atspoguļošanai iekļaut pilnu informāciju, ka 30% zinātniskās infrastruktūras ir unikāla Baltijas valstu līmenī un tikai 10 % -unikāla Eiropas līmenī, vienlaikus norādot jomas, kurās tas ir identificēts.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ar norādi uz IZM, savukārt atbilstošajā apakšsadaļā "Ietekmes apraksts" norādīt, ka IZM pildīs atbildīgās iestādes funkcijas, savukārt valsts zinātniskās institūcijas pildīs finansējuma saņēmēju un sadarbības partneru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24-TA-1719</w:t>
    </w:r>
    <w:r>
      <w:br/>
    </w:r>
    <w:r w:rsidR="00000000" w:rsidRPr="00000000" w:rsidDel="00000000">
      <w:rPr>
        <w:rtl w:val="0"/>
      </w:rPr>
      <w:t xml:space="preserve">Izdrukāts 16.08.2024.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24-TA-1719</w:t>
    </w:r>
    <w:r>
      <w:br/>
    </w:r>
    <w:r w:rsidR="00000000" w:rsidRPr="00000000" w:rsidDel="00000000">
      <w:rPr>
        <w:rtl w:val="0"/>
      </w:rPr>
      <w:t xml:space="preserve">Izdrukāts 16.08.2024.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Atzinumi_24-TA-1719.docx</dc:title>
</cp:coreProperties>
</file>

<file path=docProps/custom.xml><?xml version="1.0" encoding="utf-8"?>
<Properties xmlns="http://schemas.openxmlformats.org/officeDocument/2006/custom-properties" xmlns:vt="http://schemas.openxmlformats.org/officeDocument/2006/docPropsVTypes"/>
</file>