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25-TA-2484: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izteikt 10.</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Iekšējās drošības biroja pilnvarotas amatpersonas izmeklē Iekšlietu ministrijas padotībā esošo iestāžu (izņemot Valsts drošības dienestu), Ieslodzījuma vietu pārvaldes amatpersonu un darbinieku izdarītus noziedzīgus nodarījumus, robežsarga kā valsts amatpersonas izdarītus noziedzīgus nodarījumus, kas nav saistīti ar vardarbību, kā arī ar vardarbību saistītus noziedzīgus nodarījumus, kurus, pildot dienesta pienākumus, izdarījuši pašvaldības policijas darbinieki un ostas policijas darbinieki.”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no Kriminālprocesa likuma 387. panta astotās daļas vārdus “kā arī robežsarga kā valsts amatpersonas izdarītus noziedzīgus nodarījumus, kas nav saistīti ar vardarbību”, tie nebūtu automātiski pārliekami uz minētā panta 10.1 daļu, jo Valsts robežsardze ir Iekšlietu ministrijas pārraudzībā esoša tiešās pārvaldes iestāde un šādā redakcijā Iekšējās drošības birojs nevarētu izmeklēt robežsargu izdarītus noziedzīgus nodarījumus, kas saistīti ar vardarbību.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tādejādi nav nepieciešams Kriminālprocesa likuma 387. panta 10.1 daļu izteikt jaunā redakcijā, jo spēkā esošā redakcija aptvers Iekšējās drošības biroja institucionālo piekritību pār Valsts robežsardzes amatpersonu un darbinieku izdarītajiem noziedzīgajam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pants. 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piemēroto galīgo sodu, kas jāizcieš, kad ir noteikts sods par vairākiem noziedzīgiem nodarījumiem un ir ieskaitīti ar brīvības atņemšanu saistīto drošības līdzekļu termiņi;”.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likumprojekta anotācijā Saeima 2024. gada 13. jūnijā trešajā lasījumā pieņēma likumu “Grozījumi Krimināllikumā” (Nr. 463/Lp14) un likumu “Grozījumi Kriminālprocesa likumā” (Nr. 464/Lp14), kas stājās spēkā 2025. gada 1. janvārī. Minētie grozījumi tika izstrādāti ar mērķi reformēt tiesisko regulējumu par galīgā soda noteikšanu par vairākiem noziedzīgiem nodarījumiem. Lai novērstu nepareizi izveidojušos praksi saistībā ar galīgā soda noteikšanu, tika veikti grozījumi Kriminālprocesa likuma (turpmāk – KPL) 528. panta pirmajā daļā (notiesājoša sprieduma rezolutīvā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praksē konstatēts, ka KPL 421. panta piektajā daļā (prokurora priekšraksta par sodu rezolutīvajā daļā norādāmo prokurora lēmumu), neatkarīgi no tā vai izdarīts viens vai vairāki noziedzīgi nodarījumi nav ietverts regulējums par apsūdzētajam piespriesto galīgo sodu, kas jāizcieš, kad ir ieskaitīti ar brīvības atņemšanu saistīto drošības līdzekļu termiņi (KPL 528. panta pirmās daļas 5.1 punkts), kas prokurora priekšraksta par sodu izpildes gaitā jau radījušas problēmas. Vienlaikus praksē konstatēts, ka spēkā esošā KPL 528. panta pirmās daļas 5.1 punkta redakcija radījusi problēmas tiesību normas piemērošanā.  Pastāv atšķirīga izpratne vai šī norma piemērojama,  kad ir noteikts sods par vairākiem noziedzīgiem nodarījumiem. Šī tiesību norma tiek tulkota burtiski – galīgais izciešamais sods tiek noteikts tikai tad, ja persona ir atzīta par vainīgu par vairākiem noziedzīgiem nodarījumiem. Tāpēc KPL 421. panta piektās daļas 3.</w:t>
            </w:r>
            <w:r w:rsidR="00000000" w:rsidRPr="00000000" w:rsidDel="00000000">
              <w:rPr>
                <w:vertAlign w:val="superscript"/>
                <w:rtl w:val="0"/>
              </w:rPr>
              <w:t xml:space="preserve">1 </w:t>
            </w:r>
            <w:r w:rsidR="00000000" w:rsidRPr="00000000" w:rsidDel="00000000">
              <w:rPr>
                <w:rtl w:val="0"/>
              </w:rPr>
              <w:t xml:space="preserve"> punkts ir jāizsaka precīzāk.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KPL 421. panta piektā daļa papildināma ar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apsūdzētajam piemēroto galīgo sodu, kas jāizcieš, kad ieskaitīti ar brīvības atņemšanu saistīto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apsūdzētajam piemēroto galīgo sodu, kas jāizcieš, kad ieskaitīti ar brīvības atņemšanu saistīto drošības līdzekļu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izteiktajam priekšlikuma par Likumprojekta 18. pantu, koriģējams likumprojekta anotācijas 1.3. Pašreizējā situācija, problēmas un risinājumi ietvertais problēmas apraksts par grozījumiem Kriminālprocesa likuma 421. pantā (par prokurora priekšraksta par sodu rezolutīvajā daļā norādāmo prokurora lēmumu salāgošanu ar notiesājoša sprieduma rezolutīvā daļā norādāmajiem tiesas lēmumiem) un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Meija (ĢP)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29.12.2025.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25-TA-2484</w:t>
    </w:r>
    <w:r>
      <w:br/>
    </w:r>
    <w:r w:rsidR="00000000" w:rsidRPr="00000000" w:rsidDel="00000000">
      <w:rPr>
        <w:rtl w:val="0"/>
      </w:rPr>
      <w:t xml:space="preserve">Izdrukāts 29.12.2025.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Atzinumi_25-TA-2484.docx</dc:title>
</cp:coreProperties>
</file>

<file path=docProps/custom.xml><?xml version="1.0" encoding="utf-8"?>
<Properties xmlns="http://schemas.openxmlformats.org/officeDocument/2006/custom-properties" xmlns:vt="http://schemas.openxmlformats.org/officeDocument/2006/docPropsVTypes"/>
</file>