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25-TA-1395: Rīkojuma (grozījumu)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6. jūlija rīkojumā Nr. 421 "Par 2.1.1.1.i. investīcijas "Pārvaldes modernizācija un pakalpojumu digitālā transformācija, tai skaitā uzņēmējdarbības vide" nolūka "Valsts pārvaldes IKT attīstības projektu un programmu pārvaldība" projekta "Valsts pārvaldes IKT attīstības projektu programmu un arhitektūras pārvaldība" pases un koplietošanas pakalpojuma "IKT attīstības aktivitāšu un domēnu arhitektūru pārvaldības atbalsta pakalpojums"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precizēt anotācijas 1.2. apakšsadaļā norādīto projekta mērķi. Vēršam uzmanību, ka mērķis jādefinē tādā formā, lai varētu novērtēt tā sasniegšanas progresu. Izvirzītais mērķis nedrīkst attaisnot jau iepriekš nolemtu rīcību, tam ir jābūt neitrālam un vērstam uz problēmu izraisošo cēloņu mazināšanu vai likvidēšanu, mērķis nevar būt vienkārši tiesību akta izstrāde vai grozījumi tajā.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atsauces uz Ministru kabineta noteikumiem noformēt atbilstoši Ministru kabineta 2009. gada 3. februāra noteikumu Nr. 108 „Normatīvo aktu projektu sagatavošanas noteikumi” 3.7. apakšnodaļas nosacījumiem. Proti, ievērojot šādu atsauču formu: Ministru kabineta 2009. gada 3. februāra noteikumu Nr. 108 „Normatīvo aktu projektu sagatavošanas noteikumi”, nevis, piemēram, "Ministru kabineta 2024. gada 6. februāra noteikumiem Nr.89".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Vienlaicīgi lūdzam ievērot juridiskās tehnikas prasības attiecībā uz to, ka, nepieciešamības gadījumā, saīsinājumu piesaka pirmajā vietā juridiskajā tekstā, kur lietots attiecīgais normatīvā akta nosaukums.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izvērtēt, vai projekta pasē un anotācijā sniegta precīza, pilnīga, savstarpēji salāgota un tiesību normu adresātam vienkārši uztverama informācija. Piemēram, vai pielikumā pietiekami atspoguļota Valsts digitālās attīstības aģentūras kompetence kā projekta īstenošanas partnerim? Proti, projekta pasē šobrīd Valsts digitālās attīstības aģentūra minēta tikai vienu reizi, 1.2.apakšpunktā, norādot uz to kā projekta īstenošanas partneri, sīkāk neidentificējot tās kompetenci vai citus būtiskus nosacījumus, kas iespējams izriet no projekta būtības.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anotācijā norādīts, ka "</w:t>
            </w:r>
            <w:r w:rsidR="00000000" w:rsidRPr="00000000" w:rsidDel="00000000">
              <w:rPr>
                <w:i w:val="1"/>
                <w:rtl w:val="0"/>
              </w:rPr>
              <w:t xml:space="preserve">Projekta pasē 6. sadaļā “Projekta pārvaldības un īstenošanas kapacitāte” precizēts VARAM īstenotā PIKTAPS 2 beigu termiņš  [..] uz 2023. gada 24. decembri</w:t>
            </w:r>
            <w:r w:rsidR="00000000" w:rsidRPr="00000000" w:rsidDel="00000000">
              <w:rPr>
                <w:rtl w:val="0"/>
              </w:rPr>
              <w:t xml:space="preserve">", bet minētajā sadaļā nav atsauces uz šo datumu. Savukārt attiecībā uz anotācijas skaidrojuma daļu "</w:t>
            </w:r>
            <w:r w:rsidR="00000000" w:rsidRPr="00000000" w:rsidDel="00000000">
              <w:rPr>
                <w:i w:val="1"/>
                <w:rtl w:val="0"/>
              </w:rPr>
              <w:t xml:space="preserve">papildināts ar IKT attīstības aktivitāšu uzraudzības procesa vadlīniju izstrādi</w:t>
            </w:r>
            <w:r w:rsidR="00000000" w:rsidRPr="00000000" w:rsidDel="00000000">
              <w:rPr>
                <w:rtl w:val="0"/>
              </w:rPr>
              <w:t xml:space="preserve">" vēršam uzmanību, ka projekta pasē šādu vadlīniju izstrāde nav minēta u.tml.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anotācijā sniegtajai informācijai grozījumi Ministru kabineta 2023. gada 6. jūlija rīkojumā Nr. 421 "Par 2.1.1.1.i. investīcijas "Pārvaldes modernizācija un pakalpojumu digitālā transformācija, tai skaitā uzņēmējdarbības vide" nolūka "Valsts pārvaldes IKT attīstības projektu un programmu pārvaldība" projekta "Valsts pārvaldes IKT attīstības projektu programmu un arhitektūras pārvaldība" pases un koplietošanas pakalpojuma "IKT attīstības aktivitāšu un domēnu arhitektūru pārvaldības atbalsta pakalpojums" apstiprināšanu" ir tehniska rakstura.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atbilstoši Ministru kabineta 2009. gada 3. februāra noteikumu Nr.108 "Normatīvo aktu projektu sagatavošanas noteikumi" (turpmāk - noteikumi Nr. 108) 3.1. apakšpunktam grozījumus normatīvajā aktā sagatavo, ja normatīvo aktu nepieciešams grozīt pēc būtības. Savukārt redakcionālus, tehniskus precizējumus sagatavo vienlaikus ar normatīvā akta grozījumiem pēc būtības. Minētā norma ieviesta, lai mazinātu normatīvo aktu grozīšanas biežumu. Attiecīgi, anotācijā uzsverot grozījumu tehnisko raksturu secināms, ka projekts nemaina regulējumu pēc būtības. Ievērojot minēto, lūdzam izvērtēt plānoto grozījumu raksturu un, ja projektā paredzētie grozījumi tiešām ir tehniski, tad nevirzīt projektu apstiprināšanai Ministru kabinetā, bet gan tehniskos precizējumus veikt vienlaicīgi ar grozījumiem pēc būtības. Savukārt, konstatējot grozījumu būtiskumu, lūdzam precizēt skaidrojumus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skaidrojot kāpēc sabiedrības līdzdalība uz šo tiesību akta projektu neattiecas, lūdzam sniegt tiesību normās balstītu pamatojumu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25-TA-1395</w:t>
    </w:r>
    <w:r>
      <w:br/>
    </w:r>
    <w:r w:rsidR="00000000" w:rsidRPr="00000000" w:rsidDel="00000000">
      <w:rPr>
        <w:rtl w:val="0"/>
      </w:rPr>
      <w:t xml:space="preserve">Izdrukāts 02.07.2025. 12.30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25-TA-1395</w:t>
    </w:r>
    <w:r>
      <w:br/>
    </w:r>
    <w:r w:rsidR="00000000" w:rsidRPr="00000000" w:rsidDel="00000000">
      <w:rPr>
        <w:rtl w:val="0"/>
      </w:rPr>
      <w:t xml:space="preserve">Izdrukāts 02.07.2025. 12.30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Atzinumi_25-TA-1395.docx</dc:title>
</cp:coreProperties>
</file>

<file path=docProps/custom.xml><?xml version="1.0" encoding="utf-8"?>
<Properties xmlns="http://schemas.openxmlformats.org/officeDocument/2006/custom-properties" xmlns:vt="http://schemas.openxmlformats.org/officeDocument/2006/docPropsVTypes"/>
</file>