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kokus teritorijās, kurās to audzēšana saskaņā ar normatīvajiem aktiem par aizsargjoslām, meliorāciju, autoceļiem un dzelzceļiem ir aizliegta, kā arī Aizsargjoslu likuma 61. pantā minētos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uztur iepriekš iesniegto iebildumu un lūdz 5.3.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kokus teritorijās, kurās to audzēšana saskaņā ar normatīvajiem aktiem par aizsargjoslām, meliorāciju, autoceļiem un dzelzceļiem ir aizliegta, kā arī Aizsargjoslu likuma 61. pantā minētos kokus, izņemot aizsargjoslās gar ielām pilsētās, ciemos un citās apdzīvotās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 koku ciršana saistīta ar būvniecību un par koku nociršanu rīkojama būvniecības ieceres publiskā apspriešana </w:t>
            </w:r>
            <w:r w:rsidR="00000000" w:rsidRPr="00000000" w:rsidDel="00000000">
              <w:rPr>
                <w:b w:val="1"/>
                <w:rtl w:val="0"/>
              </w:rPr>
              <w:t xml:space="preserve">un sabiedrības viedokli par būvniecības iecerē plānoto koku ciršanu noskaidro būvniecības ieceres publiskajā apspriešanā.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uztur iepriekš iesnieto iebildumu un lūdz 17.3.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koks bojā ēku vai inženierkomunikācijas vai traucē to darbību un saņemts sertificēta kokkopja (arborista) atzinums par radīto risku pamatotību un nenovēršamību.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