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 uz vienu investīciju tika aprēķinātas 1-2 amata vietas (slodzes) atkarībā no investīcijas specifikas (piemēram, vairākas apakšaktivitātes), novitātes, finansējuma apjoma un ieviešanas modeļa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 ir piešķirtas 4 slodzes norādot, ka divu investīciju uzraudzībai aprēķināta viena slodze, jo tās plānots īstenot īsos termiņos un dažādos laika periodos (investīciju "Piekļūstamības uzlabošana dzelzceļa stacijās" plānots īstenot 2026.-2027.gadā, kamēr investīciju “Atbalsts bateriju elektrovilcieniem” -  2030.-2032.gada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ka atbilstoši Sociālā klimata fonda plānam 2026.-2032.gadam Satiksmes ministrijas atbildībā ir vislielākais īstenojamo apakšinvestīciju skaits (5 apakšinvestīcijas), šo investīciju īstenošanai piešķirts viens no lielākajiem finansējuma apjomiem (vairāk nekā 100 milj.</w:t>
            </w:r>
            <w:r w:rsidR="00000000" w:rsidRPr="00000000" w:rsidDel="00000000">
              <w:rPr>
                <w:i w:val="1"/>
                <w:rtl w:val="0"/>
              </w:rPr>
              <w:t xml:space="preserve">euro</w:t>
            </w:r>
            <w:r w:rsidR="00000000" w:rsidRPr="00000000" w:rsidDel="00000000">
              <w:rPr>
                <w:rtl w:val="0"/>
              </w:rPr>
              <w:t xml:space="preserve">). Apakšinvestīcijas “Atbalsts bateriju elektrovilcieniem” uzsākšanai plānotajā termiņā, attiecīgi, nodrošinot apakšinvestīcijas mērķrādītāju sasniegšanu līdz SKF regulā noteiktajam rezultātu sasniegšanas termiņam - 2032.gada 31.jūlijam, ir nepieciešams savlaicīgi uzsākt normatīvā regulējuma izstrādi, attiecīgi investīcijas “Piekļūstamības uzlabošana dzelzceļa stacijās” īstenošanas laiks var pārklāties ar investīcijas “Atbalsts bateriju elektrovilcieniem” normatīvā regulējuma izstrādes periodu, ņemot vērā, ka normatīvā regulējuma izstrāde un saskaņošana var aizņemt vairākus mēnešus. Tāpat vēršam uzmanību, ka Satiksmes ministrija pati nodrošinās iesniegto projektu iesniegumu atlasi, jo gandrīz visām investīcijām ir paredzēts organizēt ierobežotas projektu iesniegumu atlases. Līdz ar to, ņemot vērā minēto, kas ir cieši saistīts ar Satiksmes ministrijas darba apjomu un intensitāti, kā arī  investīciju ieviešanas sarežģītību un specifiku, Satiksmes ministrijai, lai nodrošinātu savas jomas 5 apakšinvestīciju ieviešanu un uzraudzību, ir nepieciešamas 5 slodzes ar atbilstošu finansējumu – 1 342 570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informatīvo ziņojumu, palielinot slodžu skaitu no 4 uz 5 un atbilstoši tam - finansējuma apjomu 1 342 570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Vilciņa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tabulas ailes "Atbildīgās iestādes" 11.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starpresoru vienošanos noslēgšanu ar attiecīgo īstenošanas iestādi, tai skaitā ar CFLA par KPVIS Fonda moduļa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Braņicka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07.09.2025.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07.09.2025.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