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pasākumam 2.1.1.4. sastāda 101 696 160 </w:t>
            </w:r>
            <w:r w:rsidR="00000000" w:rsidRPr="00000000" w:rsidDel="00000000">
              <w:rPr>
                <w:i w:val="1"/>
                <w:rtl w:val="0"/>
              </w:rPr>
              <w:t xml:space="preserve">euro</w:t>
            </w:r>
            <w:r w:rsidR="00000000" w:rsidRPr="00000000" w:rsidDel="00000000">
              <w:rPr>
                <w:rtl w:val="0"/>
              </w:rPr>
              <w:t xml:space="preserve"> (no tā elastības finansējuma apjoms – 16 040 058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 un privātais līdzfinansējums vismaz 2 903 493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un pielikumā norādīto informāciju. Vēršam uzmanību, ka noteikumu projekta 9.1.apakšpunktā norādītais pasākuma finansējums nesakrīt ar noteikumu projekta pielikumā pievienoto finansējuma sadalījuma kopsummu, t.i., pielikuma 13.pozīcijā labs norādīts viss 9.1.apakšpunktā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precīzu un izsekojamu informāciju par atlasei pieejamo finansējumu, lūdzam papildināt noteikumu projektu ar jaunu punktu, kas nosaka abiem pasākumiem pieejamo finansējumu (bez elastības finansējuma) pirms Eiropas Komisijas lēmuma par elastības finansējuma novirzīšanu.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projekta iesniedzējs ir noteikts šo noteikumu</w:t>
            </w:r>
            <w:r w:rsidR="00000000" w:rsidRPr="00000000" w:rsidDel="00000000">
              <w:rPr>
                <w:rtl w:val="0"/>
              </w:rPr>
              <w:t xml:space="preserve">​</w:t>
            </w:r>
            <w:r w:rsidR="00000000" w:rsidRPr="00000000" w:rsidDel="00000000">
              <w:rPr>
                <w:rtl w:val="0"/>
              </w:rPr>
              <w:t xml:space="preserve">pielikum</w:t>
            </w:r>
            <w:r w:rsidR="00000000" w:rsidRPr="00000000" w:rsidDel="00000000">
              <w:rPr>
                <w:rtl w:val="0"/>
              </w:rPr>
              <w:t xml:space="preserve">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skaidri nosakot, kas ir finansējuma saņēmējs 2.1.1.7.pasākuma ietvaros un kādi nosacījumi uz to ir attiecināmi, ņemot vērā, ka pasākumu plānots īstenot kā ierobežotu projektu iesniegumu atlasi. Anotācijā norādītā informācija "2.1.1.7.pasākumā atbalsts tiek piešķirts IZM izvirzītiem prioritāram projektam, kur atbilstoši Izglītības un zinātnes ministrijas sniegtam viedoklim projekta iesniedzējs un finansējuma saņēmējs būs Latvijas Universitāte [..]" nerada pārliecību par to, ka Latvijas Universitāte būs finansējuma saņēmējs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finansējuma saņēmējam būtu skaidri nosacījumi par iesniedzamo projektu skaitu, aicinām precizēt minēto anotācijas tekstu attiecībā uz to, vai paredzēts viens vai vairāki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w:t>
            </w:r>
            <w:r w:rsidR="00000000" w:rsidRPr="00000000" w:rsidDel="00000000">
              <w:rPr>
                <w:i w:val="1"/>
                <w:rtl w:val="0"/>
              </w:rPr>
              <w:t xml:space="preserve">Projekta īstenošanas gaitā radušās sadārdzinājuma izmaksas tiek segtas no finansējuma saņēmēja līdzekļiem</w:t>
            </w:r>
            <w:r w:rsidR="00000000" w:rsidRPr="00000000" w:rsidDel="00000000">
              <w:rPr>
                <w:rtl w:val="0"/>
              </w:rPr>
              <w:t xml:space="preserve">.", lūdzam papildināt noteikumu projektu ar normu, kas to nosaka, tai skaitā iekļaujot tekstu: "nodrošinot piemērojamo komercdarbības atbalsta regulējuma normu ievērošanu".  Skaidrojam, ka, ja atbalsts tiek piešķirts kā komercdarbības atbalsts, piemērojot Komisijas regulu Nr. 2023/2831, tad gadījumā, ja sadārdzinājums tiek segts no līdzekļiem, kas ir publiskie līdzekļi, arī uz sadārdzinājumu jāattiecina piemērojamā komercdarbības atbalsta regulējuma nosacījumi. Savukārt, ja finansējuma saņēmēja līdzekļi ir ieņēmumi no saimnieciskās darbības vai citi privātie resursi, tad komercdarbības atbalsta regulējums jāpiemēro nebūtu.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12 mēnešu laikā no 2.1.1.4. pasākumu atlases pirmās kārtas projekta iesniegumu iesniegšanas beigu datuma izsludina pasākumu atlases otro kārtu par pasākumu ietvaros neizlietoto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detalizētāk skaidrojot nosacījumus 2.1.1.4.pasākuma otrās atlases kārtas izsludināšanai. Noteikumu projekta 6.punkts paredz, ka pasākumus īsteno ierobežotas projektu iesniegumu atlases veidā un noteikumu projekta pielikumā norādīts 2.1.1.4.pasākuma finansējuma sadalījums plānotajiem finansējuma saņēmējiem, savukārt noteikumu projekta 38.punkts paredz, ka otro atlases kārtu izsludina par neizlietoto finansējumu. Lūdzam skaidrot/precizēt, vai arī otro atlases kārtu plānots organizēt kā ierobežotu projektu iesniegumu atlasi, saglabājot noteikumu projekta pielikumā norādīto finansējuma sadalījumu starp finansējuma saņēmējiem, t.i., pielikumā norādītie finansējuma saņēmēji savas finansējuma kvotas ietvaros iesniedz projektu par citu ēku, vai, piemēram, kā atklātu atlasi par visu neizlietoto finansējumu. Ja attiecināms, lūdzam precizēt noteikumu projekta 6.punktu par pasākumu vai atlases kārtu īstenošanas nosacījumiem (ierobežota/atklāta projektu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projekts ir par divu pasākumu īstenošanu, no 38.punkta redakcijas nav saprotams, vai 2.1.1.4.pasākuma otrā kārta ir plānota par 2.1.1.4.pasākuma pirmās kārtas neizlietoto finansējumu vai par abu pasākumu neizlietoto finansējumu (norādīts "par pasākum</w:t>
            </w:r>
            <w:r w:rsidR="00000000" w:rsidRPr="00000000" w:rsidDel="00000000">
              <w:rPr>
                <w:u w:val="single"/>
                <w:rtl w:val="0"/>
              </w:rPr>
              <w:t xml:space="preserve">u</w:t>
            </w:r>
            <w:r w:rsidR="00000000" w:rsidRPr="00000000" w:rsidDel="00000000">
              <w:rPr>
                <w:rtl w:val="0"/>
              </w:rPr>
              <w:t xml:space="preserve"> ietvaros neizlietoto finansējumu"), tādēļ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ēkā vai ēkas daļā, par kuru iesniegts projekta iesniegums, tiek veikti valsts deleģētie pārvaldes uzdevumi vai valsts augstskolu pamatdarbība, atbalsts šo pasākumu ietvaros netiek kvalificēts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2.1.1.4. pasākuma īstenošanas nosacījumiem: ņemot vērā to, ka pasākumā atbilstoši noteikumu projekta "VI.Komercdarbības atbalsta nosacījumi" sadaļā noteiktajam, plānots iesniegt arī tādu projekta iesniegumu, kura ietvaros tiks piešķirts komercdarbības atbalsts, lūdzam precizēt noteikumu projekta noteikumu projekta 54.punktu, iekļaujot tajā izņēmumu par komercdarbības atbalsta sniegšanu Latvijas Brīvo arodbiedrību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2.1.1.7. pasākuma īstenošanas nosacījumiem: Lūdzam papildināt noteikumu projektu un iekļaut informāciju par 2.1.1.7.pasākuma projekta iesniedzēju, nodrošinot skaidras prasības komercdarbības atbalsta kontroles kontekstā. Vēršam Jūsu uzmanību uz to, ka atbalsta sniegšana finansējuma saņēmējam valsts augstskolu pamatdarbības nodrošināšanai neizslēdz iespēju, ka atbalsts tiek sniegts saimnieciskai darbībai un tas būtu kvalificējams kā komercdarbības atbalsts. Līdz ar to, ja komercdarbības atbalsta sniegšana 2.1.1.7.pasākuma ietvaros nav plānota, noteikumu projekts būtu papildināms ar nosacījumu, ka 2.1.1.7.pasākuma ietvaros atbalsts netiks sniegts saimnieciskai darbībai, proti, ka sadarbības iestāde izvērtēs, vai projekta iesniedzēja paša ieņēmumi ir 50 procenti vai mazāki par kopējiem izdevumiem gada ietvaros, un ir pieļaujama tikai tāda saimnieciskā darbība, kas atbilst noteikumu projekta 58.punktā noteiktajai papildinošās saimnieciskās darbības definīcijai. Vienlaikus lūdzam pārskatīt arī noteikumu projekta 54.punkta redakciju par ēkā vai ēkas daļā veiktajām darbībām vai funkcijām un precizēt tā, lai punkts aptver arī 2.1.1.7.pasākumu.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iepriekš minētajam arī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būtu skaidri nolasāms, ka gadījumā, ja atbalstu plānots sniegt ēkai vai ēkas daļai, kas tiek izmantota saimnieciskajā darbībā, un tas būtu kvalificējams kā komercdarbības atbalsts, tad atbalstu pasākuma ietvaros sniedz saskaņā ar Komisijas regulu Nr.2023/2831 un normatīvajiem aktiem par de minimis atbalsta uzskaites un piešķiršanas kārtību, lūdzam papildināt noteikumu projektu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normu, kas nosaka termiņu, līdz kuram var pieņemt lēmumu par atbalsta piešķiršanu, tai skaitā, ievērojot Komisijas regulas Nr. 2023/2831 8. panta un 7. panta 3. punktā noteikto darbības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skaidri de minimis atbalsta piešķiršanas nosacījumi, lūdzam skaidri norādīt, par kādām tieši projekta izmaksām de minimis atbalstu var piešķirt un kāda ir atbalsta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pasākuma ietvaros de minimis atbalsta piešķiršana tiek veikta saskaņā ar normatīvajiem aktiem par de minimis atbalsta uzskaites un piešķiršanas kārtību, lūdzam papildināt noteikumu projektu ar nosacījumu, ka de minimis atbalsta piešķiršana un uzskaite tiek veikta saskaņā ar normatīvajiem aktiem par de minimis atbalsta uzskaites un piešķiršanas kārtību, kā arī ar nosacījumu, ka atbalsta saņēmējs projekta iesniegumam pievieno de minimis atbalsta uzskaites sistēmā (turpmāk – Sistēma) sagatavotās veidlapas par sniedzamo informāciju de minimis atbalsta uzskaitei un piešķiršanai izdruku vai atbalsta pieteikumā norāda Sistēmā aizpildītās veidlapas identifikācijas numuru, savukārt atbalsta sniedzējs pirms atbalsta piešķiršanas pārbauda saņēmēja iesniegtās veidlapā iesniegto informāciju un apstiprina to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Latvijas Brīvo arodbiedrību savienība pēc atbalsta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65.punkta apakšpunktos noteiktie nosacījumi neattiecas tikai uz Latvijas Brīvo arodbiedrību savienību un noteikumu projekta 65.1.apakšpunktā noteiktais nosacījums ir svītrojams, aicinām nosacījumus par kumulācijas prasību ievērošanu izteikt vienā noteikumu projekta punktā,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Latvijas Brīvo arodbiedrību savienība pēc atbalsta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regulas Nr.2023/2831 6.panta 3.punktā un 7.punktā noteiktajam, dalībvalstij ir pienākums nodrošināt dokumentācijas glabāšanu 10 gadus sākot no dienas, kurā saskaņā ar šiem noteikumiem piešķirts de minimis atbalsts nevis faktiski izmaksāts, kā arī ņemot vērā noteikumu projekta 52.punktā noteikto dokumentācijas glabāšanas pienākumu, lai noteikumu projektā netiktu dublētas normas, lūdzam svītrot noteikumu projekta 65.1.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ir pārkāpti regulas Nr. 2023/2831 nosacījumi, de minimis atbalsta saņēmējam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sniedzējs šī pasākuma ietvaros nav sabiedrība "Altum" un atbalstu piešķir sadarbības iestāde, lūdzam precizēt noteikumu projekta 68.punktu, paredzot, ka projekta ietvaros saņemto nelikumīgo de minimis atbalstu kopā ar procentiem no līdzekļiem, kas ir brīvi no komercdarbības atbalsta, ir jāatmaksā sadarbības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69.punktu, ņemot vērā, ka no 74.resora “Gadskārtējā valsts budžeta izpildes procesā pārdalāmais finansējums” 80.00.00 programmas „Nesadalītais finansējums Eiropas Savienības politiku instrumentu un pārējās ārvalstu finanšu palīdzības līdzfinansēto projektu un pasākumu īstenošanai” valsts budžeta priekšfinansējumu var saņemt tikai valsts budžeta iestādes. Vienlaikus vēršam uzmanību, ka valsts budžeta līdzfinansējumu Latvijas Brīvo arodbiedrību savienība var saņemt tikai valsts deleģētā uzdevuma ietvaros, anotācijā sniedzot attiecīgu pamatojumu valsts deleģētajam uzdevumam, kā arī no sadarbības iestādes saņemot finansējumu saskaņā ar noteikumu projekta 39.punktā paredzēto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9.1.apakšpunkts pasākumam 2.1.1.4. paredz privāto līdzfinansējumu vismaz 2 903 493 euro apmērā, attiecīgi lūdzam precizēt anotācijas 3.sadaļas 2.-6.punktos atspoguļoto ietekmi uz valsts budžetu. Vienlaikus aicinām 6.punktā sniegto informāciju par finansējuma sadalīju pa gadiem atspoguļot atsevišķi 2.1.1.4. un 2.1.1.7. pasākumam, ka arī punktā “Cita informācija” precizēt otrajā punktā sniegto informāciju, norādot konkrētās institūcijas, kuru budžetos finansējums tiks plānots un attiecīgi kuras nepieciešamo finansējumu 2.1.1.4.pasākuma un 2.1.1.7.pasākuma īstenošanai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pašlaik noteikumu projektā norādītās informācijas nav izsekojams kā iznākuma un rezultāta rādītāji sadalās pa pasākumiem, kas ir Ekonomikas ministrijas pārziņā, lai nodrošinātu rādītāju sasniegšanu programmas līmenī. Lai nodrošinātu informācijas izsekojamību visos energoefektivitātes pasākumos, lūdzam papildināt anotāciju ar informāciju par to kā konkrēti rādītāju sasniedzamās vērtības sadalās pa energoefektivitātes pasākumiem.  Tai skaitā, lūdzam izvērtēt nepieciešamību precizēt noteikumu projekta 8.2.1.apakšpunktā norādīto rādītāja vērtību, ņemot vērā, ka pēc Finanšu ministrijas rīcībā esošās informācijas, šī ir platība, kas sasniedzama Ekonomikas ministrijas pārziņā esošo pasākumu, kas vērsti uz publisko ēku energoefektivitāti, ietvaros, t.sk. 2.1.1.8.pasākuma "Energoefektivitāti veicinoši pasākumi kultūras infrastruktūrā"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ja projekta iesnieguma iesniegšanas dienā nav noslēgts sadarbības līgums, sadarbības līguma projektu iesniedz atbildīgajai iestādei līdz atlases līguma vai vienošanās noslēgšanai starp sadarbības iestādi un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administratīvo slogu, liekot finansējuma saņēmējam vairākkārtīgi iesniegt vienus un tos pašus dokumentus, lūdzam pārskatīt 14.2.apakšpunkta redakciju, salāgojot to ar anotācijā norādīto informāciju. 14.2.apakšpunkts paredz, ka sadarbības līguma projektu iesniedz atbildīgajai iestādei, t.i., EM, vienlaikus anotācijā sniegtā informācija liecina, ka sadarbības līguma projekts tiek iesniegts sadarbības iestādei (anotācijā norādīts "Sadarbības līguma projekts ir projekta iesnieguma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ministrijas vai kapitālsabiedrības kapitāla daļu turētāja saskaņojums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minēto izmaksu ierobežojumu pārsniegšanai, ievērojot šo noteikumu </w:t>
            </w:r>
            <w:r w:rsidR="00000000" w:rsidRPr="00000000" w:rsidDel="00000000">
              <w:rPr>
                <w:rtl w:val="0"/>
              </w:rPr>
              <w:t xml:space="preserve">10.</w:t>
            </w:r>
            <w:r w:rsidR="00000000" w:rsidRPr="00000000" w:rsidDel="00000000">
              <w:rPr>
                <w:rtl w:val="0"/>
              </w:rPr>
              <w:t xml:space="preserve"> punktā minēto vai to, ka papildus piesaistītais publiskais finansējums tiks nodrošināts no šo noteikumu pielikumā minētā projekta iesniedzēja rīcībā esošajiem līdzekļiem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atsauces uz 24. un 25.punktā minēto, nevis uz 25. un 26.punktā minēto. Vēršam uzmanību, ka noteikumu projekta 26. punkts paredz nosacījumus par izmaksu attiecināmības termiņu, nevis izmaksu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Ozols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tiešās attiecināmās izmaksas, kas nav mazākas par 200 000 </w:t>
            </w:r>
            <w:r w:rsidR="00000000" w:rsidRPr="00000000" w:rsidDel="00000000">
              <w:rPr>
                <w:i w:val="1"/>
                <w:rtl w:val="0"/>
              </w:rPr>
              <w:t xml:space="preserve">euro </w:t>
            </w:r>
            <w:r w:rsidR="00000000" w:rsidRPr="00000000" w:rsidDel="00000000">
              <w:rPr>
                <w:rtl w:val="0"/>
              </w:rPr>
              <w:t xml:space="preserve">(ieskaitot),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plānoto projektu specifiku, aicinām izvērtēt iespēju papildināt noteikumu projekta 22.punktu ar prasību veikt izmaksu un ieguvumu analīzes veikšanas izmaksām, kā arī ar  kultūrvēsturiskās, arheoloģiskās un arhitektoniski mākslinieciskās izpētes un kultūrvēsturiskās inventarizācijas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22. punktu, nosakot, ka projekta attiecināmās izmaksas ir projekta izmaksu un ieguvumu analīzes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22.1.</w:t>
            </w:r>
            <w:r w:rsidR="00000000" w:rsidRPr="00000000" w:rsidDel="00000000">
              <w:rPr>
                <w:rtl w:val="0"/>
              </w:rPr>
              <w:t xml:space="preserve"> līdz </w:t>
            </w:r>
            <w:r w:rsidR="00000000" w:rsidRPr="00000000" w:rsidDel="00000000">
              <w:rPr>
                <w:rtl w:val="0"/>
              </w:rPr>
              <w:t xml:space="preserve">22.3.</w:t>
            </w:r>
            <w:r w:rsidR="00000000" w:rsidRPr="00000000" w:rsidDel="00000000">
              <w:rPr>
                <w:rtl w:val="0"/>
              </w:rPr>
              <w:t xml:space="preserve"> apakšpunktā minēto attiecināmo izmaksu kopsumma nepārsniedz 10 % no projekta attiecināmo izmaksu summas. Ierobežojumu var nepiemērot, ja finansējuma saņēmējs pamato, ka šīs prasības piemērošana nav iespējama, un ir saņēmis šo noteikumu </w:t>
            </w:r>
            <w:r w:rsidR="00000000" w:rsidRPr="00000000" w:rsidDel="00000000">
              <w:rPr>
                <w:rtl w:val="0"/>
              </w:rPr>
              <w:t xml:space="preserve">18.4.</w:t>
            </w:r>
            <w:r w:rsidR="00000000" w:rsidRPr="00000000" w:rsidDel="00000000">
              <w:rPr>
                <w:rtl w:val="0"/>
              </w:rPr>
              <w:t xml:space="preserve"> apakšpunktā minēto ministrijas vai kapitālsabiedrības kapitāla daļu turētāja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 punktā precizēt atsauci uz noteikumu projekta 22.3. apakšpunktu, aizstājot to ar noteikumu projekta 22.2.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Finansējuma saņēmējam avansu var piešķirt līdz 30 procentiem no projektam piešķirtā Eiropas Reģionālās attīstības fonda finansējuma un, ja tas ir paredzēts projektā, valsts budžeta līdzfinansējuma kopsummas, ievērojot, ka avansu var izmaksāt vairākos maksājumos un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noteiktos projekta iesniedzējus, atkārtoti lūdzam izvērtēt iespēju precizēt noteikumu projekta 39.punkta redakciju, lai būtu viennozīmīga izpratne, ka minētajā pielikumā noteiktajiem projekta iesniedzējiem, kas  ir valsts pārvaldes iestādes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Ministru kabineta 2023. gada 25. aprīļa noteikumiem Nr.205 "Valsts budžeta līdzekļu plānošanas kārtība Eiropas Savienības fondu projektu īstenošanai un maksājumu veikšanai 2021.–2027. gada plānošanas periodā" (turpmāk - MK noteikumi Nr.205) avansa un starpposma maksājuma kopsummas apmēru aprēķina no projektam piešķirtā Eiropas Savienības fonda finansējuma un, ja tas ir paredzēts projektā, valsts budžeta līdzfinansējuma kopsummas. Ievērojot minēto, lūdzam atbilstoši precizēt noteikumu projekta 39. punkta pēdējo teikumu attiecībā uz avansa un starpposma maksājuma kopsummu, līdzīgi kā tika precizēts attiecībā uz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izņemot  finansējuma saņēmējus, kas ir valsts pārvaldes iestādes. Finansējuma saņēmējs avansa pieprasījumu sagatavo un sadarbības iestāde apstiprina, ņemot vērā, ka plānotā avansa apmērs atbilst spējai to izlietot sešu mēnešu laikā. Finansējuma saņēmējam avansu var piešķirt līdz 30 procentiem no projektam piešķirtā Eiropas Reģionālās attīstības fonda finansējuma un, ja tas ir paredzēts projektā, valsts budžeta līdzfinansējuma kopsummas. Avansu var izmaksāt vairākos maksājumos un avansa un starpposma maksājumu kopsumma nepārsniedz 90 procentus no projektam piešķirtā Eiropas Reģionālās attīstības fonda finansējuma un, ja tas ir paredzēts projektā,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uzkrāj datus par projekta ietekmi uz horizontālā principa "Klimatdrošināšana" īstenošanu projekta īstenošanas un pēcuzraudzības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finansējuma saņēmējam nav jāuzkrāj dati arī par HP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pasākumu īstenošanas nosacījumi ir skaidri un saprotami gan atbalsta sniedzējiem, gan atbalsta saņēmējiem, lūdzam izvērtēt iespēju nodalīt atbalsta piešķiršanas nosacījumus atsevišķi 2.1.1.4. pasākumam un 2.1.1.7.pasākumam, kā arī komercdarbības atbalsta piešķiršanas nosacījumus 2.1.1.4. pasākuma ietvaros. Vēršam uzmanību, ka no noteikumu projekta nav skaidrs, kuri nosacījumi attiecas uz visiem projekta iesniedzējiem, un kuru atsevišķi tikai uz Latvijas universitāti (2.1.1.7. pasākuma atbalsta saņēmēju) vai Latvijas Brīvo arodbiedrību savienību (de minimis atbalsta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izpratnē ar ēkas daļu, kurā netiek veikta saimnieciskā darbība, saprot tādu ēkas daļu, kurā vismaz 80 procentus no tās kopējās gada jaudas (platības, laika vai finanšu izteiksmē) izmanto valsts pārvaldes funkciju un uzdevumu īstenošanai un līdz 20 procentiem no kopējās gada jaudas – papildinošas saimnieciskās darbības īstenošanai un kurā nenotiek nekāda cita saimnieciskā darbība. To ēkas daļu, kurā tiek veikta jebkura cita saimnieciskā darbība, neiekļauj projekta iesniegumā un izmaksas finansē no līdzekļiem, par kuriem nav saņemts nekāds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57.punktā noteikto, papildinot aprakstu par ēkas izmantošanas mērķi, lai šo nosacījumu varētu attiecināt arī uz 2.1.1.7. pasākuma ietvaros plānoto projektu, kura ietvaros atbalsts tiks sniegts valsts augstskolu pamatdarbības nodrošināšanai kā tas noteikts noteikumu projekta 54.punktā.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noteikumi </w:t>
            </w:r>
            <w:r w:rsidR="00000000" w:rsidRPr="00000000" w:rsidDel="00000000">
              <w:rPr>
                <w:rtl w:val="0"/>
              </w:rPr>
              <w:t xml:space="preserve">62. </w:t>
            </w:r>
            <w:r w:rsidR="00000000" w:rsidRPr="00000000" w:rsidDel="00000000">
              <w:rPr>
                <w:rtl w:val="0"/>
              </w:rPr>
              <w:t xml:space="preserve">punkt</w:t>
            </w:r>
            <w:r w:rsidR="00000000" w:rsidRPr="00000000" w:rsidDel="00000000">
              <w:rPr>
                <w:rtl w:val="0"/>
              </w:rPr>
              <w:t xml:space="preserve">ā noteiktajā gadījumā tiek nodrošināts, ka atbalsts netiek piešķirts  Komisijas regulas 2023/2831 1. panta a), b), c)  un d) apakšpunktos noteiktajās nozarēs. Ja tiek secināts, a Latvijas Brīvo arodbiedrību savienība darbojas šajā punktā noteiktajās nozarēs, atbalstu drīkst piešķirt, ja tiek nodalīti atbalstāmie pasākumi un finanšu plūsmas, nodrošinot, ka darbības šajā punktā minētajās nozarēs negūst labumu no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2023/2831 1. panta 2.punkta nosacījuma piemērošanu, lūdzam izteikt noteikumu projekta 64.punktu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Brīvo arodbiedrību savienība vienlaikus darbojas vienā vai vairākās Komisijas regulas Nr.2023/2831 1.panta 1.punkta a), b), c) un d) apakšpunktā minētajās nozarēs, atbalstu drīkst piešķirt tikai tad, ja Latvijas Brīvo arodbiedrību savienība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rindkopu "Centrālā finanšu un līgumu aģentūra aicinās Latvijas Universitāti reizi gadā sniegt informāciju par papildinošās saimnieciskās darbības proporcijas (20%) ievērošanu, lai Latvijas Universitātes darbība amortizācijas periodā nepārvēršas par saimniecisku darbību, tādējādi nodrošinot komercdarbības atbalsta nosacījumu ievērošanu. Norādām, ka Latvijas valsts augstskolu pamatdarbība līdz šim nav kvalificēta kā saimnieciskā darbība, ko apliecina arī 01.12.2022. Eiropas Komisijas DG Konkurences Valsts atbalsta lietu un politikas A3 nodaļas sniegtās atbildes uz Izglītības un zinātnes ministrijas uzdotajiem jautājumiem.", jo atbilstoši noteikumu projekta 57.punktā paredzētajam PSD pašdeklarēšanās principam, CFLA neplāno reizi gadā aicināt sniegt informāciju par PSD proporcijas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atbildīgajai iestādei 02.08.2024. nosūtītajā vēstulē Nr. 39-2-10/5739 "Par ekspluatācijā neesošu ēku energosertifikāciju Eiropas Savienības fondu ieviešanā 2021.-2027. gada plānošanas periodā" minēto, uzturam spēkā priekšlikumu par nepieciešamību papildināt anotāciju attiecībā uz ekspluatācijā neesošu ēku (t.i. ēkas, kurām līdz 2015. gada 9. jūlijam nav izsniegts ēkas energosertifikāts) attiecināmību pasākuma ietvaros, kā arī to energosertifikācijas kārtību, jo atbilstoši Ēkas energoefektivitātes likuma 1. pantam, ēkas energosertifikācijas procesā nosaka </w:t>
            </w:r>
            <w:r w:rsidR="00000000" w:rsidRPr="00000000" w:rsidDel="00000000">
              <w:rPr>
                <w:b w:val="1"/>
                <w:rtl w:val="0"/>
              </w:rPr>
              <w:t xml:space="preserve">ekspluatējamas ēkas</w:t>
            </w:r>
            <w:r w:rsidR="00000000" w:rsidRPr="00000000" w:rsidDel="00000000">
              <w:rPr>
                <w:rtl w:val="0"/>
              </w:rPr>
              <w:t xml:space="preserve"> vai tās daļas energoefektivitāti vai projektējamas, pārbūvējamas vai atjaunojamas ēkas vai tās daļas plānoto energoefektivitāti, izsniedzot ēkas pagaidu energosertifikātu.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2.1.1.4.pasākuma un 2.1.1.7.pasākuma ietvaros  tiek nodrošināta iespēja saņemt atbalstu konkrēto ēku virzībai uz nulles patēriņa ēkām, taču attiecīgais nosacījums nav izvirzīts kā obligāts. Attiecīgi 2.1.1.4  un 2.1.1.7.pasākuma rezultāti netiks pilnībā attiecināti uz Nacionālais enerģētikas un klimata plāns 2021.-2030. gadam noteiktiem mērķiem attiecībā uz publiskā sektora nulles patēriņa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Ministru kabineta protokollēmuma 4.punkta būtību un nepieciešamību. Ņemot vērā punktā ietverto informāciju, aicinām izvērtēt, vai šī nav anotācijā iekļaujama.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01.10.2024.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01.10.2024.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