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5. pēdējo trīs gadu laikā nodokļu maksātājam vai apkalpojošajam dienestam ir pieņemts lēmums par soda piemērošanu saistībā ar nodokļu un citu maksājumu reģistrēšanas elektronisko ierīču vai iekārtu lietošanu, ja ir mainīta to konstrukcija vai programma, vai saistībā ar neatļautu darbību veikšanu, lai mainītu normatīvajos aktos noteikto nodokļu un citu maksājumu reģistrēšanas elektronisko ierīču vai iekārtu konstrukciju, iejauktos programmā, ar ko tādējādi radīta iespēja slēpt vai samazināt ar nodokļiem un nodevām apliekamo objektu, vai sodāmība par šo pārkāpumu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121.125. un 121.126. apakšpunktā un projekta sākotnējās ietekmes novērtējuma ziņojumā (anotācijā) noteiktā nav viennozīmīgi skaidrs, kā tiks iegūta informācija par projekta 121.125. un 121.126.apakšpunktā minētajiem lēmumiem un vai minēto informāciju paredzēts iegūt no valsts informācijas sistēmas "Sodu reģistrs".  Ja attiecīgo informāciju plānots iegūt no valsts informācijas sistēmas "Sodu reģistrs", lai radītu viennozīmīgu izpratni par izsniedzamo ziņu apjomu no tās, papildināt projekta sākotnējās ietekmes novērtējuma ziņojumu (anotāciju), norādot konkrētus likumu pantus un pārkāpumu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12.05.2025.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12.05.2025.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