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investīciju projekta “Aizsargātā lietotāja datu informācijas sistēmas procesu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sākot ar 2027.gadu, projekta rezultātu uzturēšanas izmaksas nepārsniedz 10 776 euro gadā. Finansējumu projekta rezultātu uzturēšanai nodrošināt Ekonomikas ministrijai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rezultātā radīsies ekonomiskie ieguvumi, tie nenonāks Ekonomikas ministrijai vai BVKB, tāpēc lūdzam izvērtēt iespēju precizēt rīkojuma projektu, nosakot  Ekonomikas ministrijai finansējumu projekta rezultātu uzturēšanai pieprasīt normatīvajos aktos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pēc projekta pabeigšanas, sākot ar 2027.gadu, projekta rezultātu uzturēšanas izmaksas nepārsniedz 10 776 euro gadā. Ekonomikas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29.09.2025.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29.09.2025.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Atzinumi_25-TA-1611.docx</dc:title>
</cp:coreProperties>
</file>

<file path=docProps/custom.xml><?xml version="1.0" encoding="utf-8"?>
<Properties xmlns="http://schemas.openxmlformats.org/officeDocument/2006/custom-properties" xmlns:vt="http://schemas.openxmlformats.org/officeDocument/2006/docPropsVTypes"/>
</file>