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22-TA-861: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Noteikumi par Apgrūtināto teritoriju informācijas sistēmas izveidi un uzturēšanu un apgrūtināto teritoriju un nekustamā īpašuma objekta apgrūtinājumu klasifikatoru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1.3.sadaļā skaidrots, ka Informācijas sistēmā iekļauti dati, kuru izsniegšanā jāievēro īpašas prasības un atbilstoši datu saņēmēja piekļuves apjomam Informācijas sistēmas datus Informācijas sistēmas pārzinis var sniegt - izmantojot specializētus portāla www.kadastrs.lv elektroniskos pakalpojumus: piemēram, specializēts elektroniskais pakalpojums datu sniedzējam ("Mani ATIS dati"), Nekustamā īpašuma valsts kadastra informācijas sistēmā (turpmāk – Kadastra informācijas sistēma) reģistrēta nekustamā īpašuma īpašniekam, vai, ja tāda nav, – tiesiskajam valdītājam, vai, ja tāda nav, – lietotājam ("ATIS dati par savām zemes vienībām") un, tiklīdz tas būs iespējams atbilstoši prasībām, kādas tiks noteiktas nacionālajai drošībai un valsts aizsardzībai svarīgas informācijas aizsardzības nodrošināšanai, – specializēti pakalpojumi personām tām noteikto profesionālo pienākumu veikšanai zemes kadastrālajā uzmērīšanā, zemes ierīcības projekta izstrādē, ģeodēzisko darbu veikšanā un meža inventarizācijai ("Informācija zemes kadastrālajai uzmērīšanai", "Plānošanai un meža inventarizācijai", "Ģeodēzisko darbu veikšanai"), un </w:t>
            </w:r>
            <w:r w:rsidR="00000000" w:rsidRPr="00000000" w:rsidDel="00000000">
              <w:rPr>
                <w:u w:val="single"/>
                <w:rtl w:val="0"/>
              </w:rPr>
              <w:t xml:space="preserve">specializēts elektroniskais pakalpojums citām personām vispārpieejamu Informācijas sistēmas datu saņemšanai ("ATIS dati par svešām zemes vienībām")</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skaidrot, kad būs pieejams pakalpojums datu pārlūkošanai par svešām zemes vienībām, īpaši ņemot vērā apstākli, ka no 2025. gada ir paredzēts vairs nesagatavot Apgrūtinājuma plānus. Informācijas saņemšana par zemes vienības apgrūtinājumiem ir svarīgā, piemēram, potenciālajiem nekustamo'īpašumu pircējiem.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Tostarp, lūdzam skaidrot, kādēļ  Noteikumu projekta 15., 16.punktā izvēlēts tik garš termiņš aizsargjoslas platumu  aktualizēšanai Informācijas sistēmā vai noteikšanai.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Līga Rozenberga (VNI)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3. sadaļas punktā “Cita informācija” sniegto informāciju, norādot, ka nepieciešamais finansējums 22 748 euro apmērā Tieslietu ministrijai 2023. gadā ir pārdalīts no budžeta resora “74. Gadskārtējā valsts budžeta izpildes procesā pārdalāmais finansējums” programmas 01.00.00 “Apropriācijas rezerve” (FM 25.05.2023. rīkojums Nr. 148).</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Daira Stempere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22-TA-861</w:t>
    </w:r>
    <w:r>
      <w:br/>
    </w:r>
    <w:r w:rsidR="00000000" w:rsidRPr="00000000" w:rsidDel="00000000">
      <w:rPr>
        <w:rtl w:val="0"/>
      </w:rPr>
      <w:t xml:space="preserve">Izdrukāts 15.08.2023. 16.07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22-TA-861</w:t>
    </w:r>
    <w:r>
      <w:br/>
    </w:r>
    <w:r w:rsidR="00000000" w:rsidRPr="00000000" w:rsidDel="00000000">
      <w:rPr>
        <w:rtl w:val="0"/>
      </w:rPr>
      <w:t xml:space="preserve">Izdrukāts 15.08.2023. 16.07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Atzinumi_22-TA-861.docx</dc:title>
</cp:coreProperties>
</file>

<file path=docProps/custom.xml><?xml version="1.0" encoding="utf-8"?>
<Properties xmlns="http://schemas.openxmlformats.org/officeDocument/2006/custom-properties" xmlns:vt="http://schemas.openxmlformats.org/officeDocument/2006/docPropsVTypes"/>
</file>