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26-TA-1439: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Vēja elektrostacijas ekspluatācijas prasības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Drosme darīt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Nesaskaņots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Noteikumu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8. Vēja elektrostaciju radītā zemas frekvences trokšņa līmeņa prognozēšanai un novērtēšanai izmanto šo noteikumu </w:t>
            </w:r>
            <w:r w:rsidR="00000000" w:rsidRPr="00000000" w:rsidDel="00000000">
              <w:rPr>
                <w:rtl w:val="0"/>
              </w:rPr>
              <w:t xml:space="preserve">​</w:t>
            </w:r>
            <w:r w:rsidR="00000000" w:rsidRPr="00000000" w:rsidDel="00000000">
              <w:rPr>
                <w:rtl w:val="0"/>
              </w:rPr>
              <w:t xml:space="preserve">pielikumā</w:t>
            </w:r>
            <w:r w:rsidR="00000000" w:rsidRPr="00000000" w:rsidDel="00000000">
              <w:rPr>
                <w:rtl w:val="0"/>
              </w:rPr>
              <w:t xml:space="preserve"> ietverto aprēķinu metodi.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Papildināt ar atsauci uz zemas frekvences skaņu: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Vēja elektrostaciju radītā skaņa diapazonā no 1 līdz 10 Hz izvērtējama visos gadījumos, kad VES lāpstiņu pārejas frekvence vai tās harmonikas ietilpst šajā diapazonā. Izvērtējumu veic, izmantojot neizsvērtu skaņas spiediena spektru un, ja piemērojams, G-svērtu skaņas spiediena līmeni. Ja VES lāpstiņu pārejas frekvence ir zemāka par 1 Hz, IVN ziņojumā norāda šo frekvenci, tās harmonikas un pamato, kāpēc zem 1 Hz esošā periodiskā spiediena komponente nav būtiska dzīvojamo ēku iekštelpās.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Ilze Mežniece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26-TA-1439</w:t>
    </w:r>
    <w:r>
      <w:br/>
    </w:r>
    <w:r w:rsidR="00000000" w:rsidRPr="00000000" w:rsidDel="00000000">
      <w:rPr>
        <w:rtl w:val="0"/>
      </w:rPr>
      <w:t xml:space="preserve">Izdrukāts 21.08.2026. 00.01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26-TA-1439</w:t>
    </w:r>
    <w:r>
      <w:br/>
    </w:r>
    <w:r w:rsidR="00000000" w:rsidRPr="00000000" w:rsidDel="00000000">
      <w:rPr>
        <w:rtl w:val="0"/>
      </w:rPr>
      <w:t xml:space="preserve">Izdrukāts 21.08.2026. 00.01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Atzinumi_26-TA-1439.docx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