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Depozīta iepakojuma pārdevējs, kura tirdzniecības vietā ir neliels depozīta iepakojuma apgrozījums, tiek atbrīvots no šā panta pirmajā vai otrajā daļā noteiktā pienākuma, ja tas ir saskaņots ar Valsts vides dienestu un pašvaldību, kuras administratīvajā teritorijā atrodas attiecīgā tirdzniecības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piedāvāto Iepakojuma likuma 18.</w:t>
            </w:r>
            <w:r w:rsidR="00000000" w:rsidRPr="00000000" w:rsidDel="00000000">
              <w:rPr>
                <w:vertAlign w:val="superscript"/>
                <w:rtl w:val="0"/>
              </w:rPr>
              <w:t xml:space="preserve">8</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paredz, ka depozīta iepakojuma pārdevējs (turpmāk – pārdevējs), kura tirdzniecības vietā ir </w:t>
            </w:r>
            <w:r w:rsidR="00000000" w:rsidRPr="00000000" w:rsidDel="00000000">
              <w:rPr>
                <w:u w:val="single"/>
                <w:rtl w:val="0"/>
              </w:rPr>
              <w:t xml:space="preserve">neliels</w:t>
            </w:r>
            <w:r w:rsidR="00000000" w:rsidRPr="00000000" w:rsidDel="00000000">
              <w:rPr>
                <w:rtl w:val="0"/>
              </w:rPr>
              <w:t xml:space="preserve"> depozīta iepakojuma apgrozījums, </w:t>
            </w:r>
            <w:r w:rsidR="00000000" w:rsidRPr="00000000" w:rsidDel="00000000">
              <w:rPr>
                <w:u w:val="single"/>
                <w:rtl w:val="0"/>
              </w:rPr>
              <w:t xml:space="preserve">tiek atbrīvots</w:t>
            </w:r>
            <w:r w:rsidR="00000000" w:rsidRPr="00000000" w:rsidDel="00000000">
              <w:rPr>
                <w:rtl w:val="0"/>
              </w:rPr>
              <w:t xml:space="preserve"> no šā panta pirmajā vai otrajā daļā noteiktā pienākuma, ja atbrīvojums ir saskaņots ar Valsts vides dienestu (turpmāk – dienests) un pašvaldību, kuras administratīvajā teritorijā atrodas attiecīgā tirdzniecības vieta (turpmāk – pašvaldība). Vēršam uzmanību, ka no likumprojekta un tā anotācijas nav izsecināms, kas likumprojekta izpratnē uzskatāms par nelielu depozīta iepakojuma apgrozījumu. Proti, likumprojekts neparedz skaidrus un objektīvi pārbaudāmus kritērijus, atbilstoši kuriem depozīta iepakojuma apgrozījums atzīstams par nelielu. Savukārt likumprojekta anotācijā norādītais tirdzniecības vietu skaits un pieņemto iepakojuma vienību kopējais apjoms neļauj konstatēt konkrētu robežvērtību, no kuras apgrozījums uzskatāms par nelielu.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konstatējams, kura institūcija pieņem lēmumu par pārdevēja atbrīvošanu no minētā pienākuma, uz kādu termiņu atbrīvojums piešķirams, kā arī vai, kādos gadījumos un kādā kārtībā tas ir pārskatāms vai atceļams. No likumprojekta un tā anotācijas nav izsecināms arī dienesta un pašvaldības kompetences sadalījums, tostarp, vai abu institūciju piekrišana ir obligāts priekšnoteikums lēmuma pieņemšanai, kā arī tiesiskās sekas gadījumā, ja viena no tām atbrīvojuma piešķiršanu nesaskaņo. Tāpat nav nosakāma dienesta un pašvaldības saskaņojuma juridiskā forma un tā sniegšanas un saņemšanas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 ka likumprojektā būtu nosakāmi vismaz būtiskākie atbrīvojuma piemērošanas kritēriji, tā darbības pamatnosacījumi un iesaistīto institūciju kompetence. Savukārt likumprojekta anotācijā nepieciešams skaidrot lēmuma pieņemšanas un saskaņojuma sniegšanas procesu un iesaistīto subjektu tiesiskās aizsardzības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"15. Šā likuma 18.</w:t>
            </w:r>
            <w:r w:rsidR="00000000" w:rsidRPr="00000000" w:rsidDel="00000000">
              <w:rPr>
                <w:vertAlign w:val="superscript"/>
                <w:rtl w:val="0"/>
              </w:rPr>
              <w:t xml:space="preserve">15</w:t>
            </w:r>
            <w:r w:rsidR="00000000" w:rsidRPr="00000000" w:rsidDel="00000000">
              <w:rPr>
                <w:rtl w:val="0"/>
              </w:rPr>
              <w:t xml:space="preserve"> panta ceturtajā daļā noteiktā līguma pagarināšanas iespēja piemērojama līgumam, kas noslēgts pēc grozījumu šā likuma 18.</w:t>
            </w:r>
            <w:r w:rsidR="00000000" w:rsidRPr="00000000" w:rsidDel="00000000">
              <w:rPr>
                <w:vertAlign w:val="superscript"/>
                <w:rtl w:val="0"/>
              </w:rPr>
              <w:t xml:space="preserve">13</w:t>
            </w:r>
            <w:r w:rsidR="00000000" w:rsidRPr="00000000" w:rsidDel="00000000">
              <w:rPr>
                <w:rtl w:val="0"/>
              </w:rPr>
              <w:t xml:space="preserve"> un 18.</w:t>
            </w:r>
            <w:r w:rsidR="00000000" w:rsidRPr="00000000" w:rsidDel="00000000">
              <w:rPr>
                <w:vertAlign w:val="superscript"/>
                <w:rtl w:val="0"/>
              </w:rPr>
              <w:t xml:space="preserve">14</w:t>
            </w:r>
            <w:r w:rsidR="00000000" w:rsidRPr="00000000" w:rsidDel="00000000">
              <w:rPr>
                <w:rtl w:val="0"/>
              </w:rPr>
              <w:t xml:space="preserve"> pantā spēkā stāšanās. Uz līgumu ar depozīta sistēmas operatoru, kas bija spēkā līdz minēto grozījumu veikšanai, līguma pagarināšanas noteikumi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8. pantā piedāvātajā Iepakojuma likuma pārejas noteikumu 15. punktā ietvertās atsauces uz Iepakojuma likuma pantiem.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prasību attiecībā uz operatora tiešo dalībnieku sastāvu un depozīta iepakotājiem vai biedrībām, kuru biedri ir tikai depozīta iepakotāji, piederošo balsstiesību vairākumu un prasību par vismaz 51 procenta tirgus pārstāvniecību atbilstoši likumprojektam paredz attiecīgi Iepakojuma likuma </w:t>
            </w:r>
            <w:r w:rsidR="00000000" w:rsidRPr="00000000" w:rsidDel="00000000">
              <w:rPr>
                <w:u w:val="single"/>
                <w:rtl w:val="0"/>
              </w:rPr>
              <w:t xml:space="preserve">18.</w:t>
            </w:r>
            <w:r w:rsidR="00000000" w:rsidRPr="00000000" w:rsidDel="00000000">
              <w:rPr>
                <w:u w:val="single"/>
                <w:vertAlign w:val="superscript"/>
                <w:rtl w:val="0"/>
              </w:rPr>
              <w:t xml:space="preserve">12</w:t>
            </w:r>
            <w:r w:rsidR="00000000" w:rsidRPr="00000000" w:rsidDel="00000000">
              <w:rPr>
                <w:u w:val="single"/>
                <w:rtl w:val="0"/>
              </w:rPr>
              <w:t xml:space="preserve"> panta</w:t>
            </w:r>
            <w:r w:rsidR="00000000" w:rsidRPr="00000000" w:rsidDel="00000000">
              <w:rPr>
                <w:rtl w:val="0"/>
              </w:rPr>
              <w:t xml:space="preserve"> 7. punkts un </w:t>
            </w:r>
            <w:r w:rsidR="00000000" w:rsidRPr="00000000" w:rsidDel="00000000">
              <w:rPr>
                <w:u w:val="single"/>
                <w:rtl w:val="0"/>
              </w:rPr>
              <w:t xml:space="preserve">18.</w:t>
            </w:r>
            <w:r w:rsidR="00000000" w:rsidRPr="00000000" w:rsidDel="00000000">
              <w:rPr>
                <w:u w:val="single"/>
                <w:vertAlign w:val="superscript"/>
                <w:rtl w:val="0"/>
              </w:rPr>
              <w:t xml:space="preserve">13</w:t>
            </w:r>
            <w:r w:rsidR="00000000" w:rsidRPr="00000000" w:rsidDel="00000000">
              <w:rPr>
                <w:u w:val="single"/>
                <w:rtl w:val="0"/>
              </w:rPr>
              <w:t xml:space="preserve"> panta</w:t>
            </w:r>
            <w:r w:rsidR="00000000" w:rsidRPr="00000000" w:rsidDel="00000000">
              <w:rPr>
                <w:rtl w:val="0"/>
              </w:rPr>
              <w:t xml:space="preserve"> 6. punkts. Savukārt Iepakojuma likuma 18.</w:t>
            </w:r>
            <w:r w:rsidR="00000000" w:rsidRPr="00000000" w:rsidDel="00000000">
              <w:rPr>
                <w:vertAlign w:val="superscript"/>
                <w:rtl w:val="0"/>
              </w:rPr>
              <w:t xml:space="preserve">14</w:t>
            </w:r>
            <w:r w:rsidR="00000000" w:rsidRPr="00000000" w:rsidDel="00000000">
              <w:rPr>
                <w:rtl w:val="0"/>
              </w:rPr>
              <w:t xml:space="preserve"> panta trešā daļa regulē depozīta sistēmas darbības nodrošināšanu līdz dienesta lēmuma par jauno operatoru spēkā stāšanās brīdim, nevis operatoram vai pretendentam izvirzāmās atbilstības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2. pantā piedāvātā Iepakojuma likuma 18.8 panta trešajā daļā noteikto regulējumu ar likumprojekta anotācijas 1.3. sadaļā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no Iepakojuma likuma 18.8 panta pirmajā vai otrajā daļā noteiktā pienākuma tiek atbrīvots pārdevējs, kura tirdzniecības vietā ir </w:t>
            </w:r>
            <w:r w:rsidR="00000000" w:rsidRPr="00000000" w:rsidDel="00000000">
              <w:rPr>
                <w:u w:val="single"/>
                <w:rtl w:val="0"/>
              </w:rPr>
              <w:t xml:space="preserve">neliels depozīta iepakojuma apgrozījums</w:t>
            </w:r>
            <w:r w:rsidR="00000000" w:rsidRPr="00000000" w:rsidDel="00000000">
              <w:rPr>
                <w:rtl w:val="0"/>
              </w:rPr>
              <w:t xml:space="preserve">, savukārt likumprojekta anotācijā norādīts, ka minētais atbrīvojums attiecināms uz pārdevējiem, kuru tirdzniecības vietā ir </w:t>
            </w:r>
            <w:r w:rsidR="00000000" w:rsidRPr="00000000" w:rsidDel="00000000">
              <w:rPr>
                <w:u w:val="single"/>
                <w:rtl w:val="0"/>
              </w:rPr>
              <w:t xml:space="preserve">zema izlietotā depozīta iepakojuma pieņemšanas aktivitāte</w:t>
            </w:r>
            <w:r w:rsidR="00000000" w:rsidRPr="00000000" w:rsidDel="00000000">
              <w:rPr>
                <w:rtl w:val="0"/>
              </w:rPr>
              <w:t xml:space="preserve">. Tieslietu ministrijas ieskatā minētie priekšnoteikumi nav saturiski identiski. Proti, depozīta iepakojuma apgrozījums var tikt attiecināts arī uz tirdzniecības vietā realizētā depozīta iepakojuma apjomu, savukārt izlietotā depozīta iepakojuma pieņemšanas aktivitāte raksturo pieņemtā izlietotā depozīta iepakojuma apjomu, nevērtējot to, cik daudz depozīta iepakojuma attiecīgajā tirdzniecības vietā realizēts.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1.3. anotācijā vārdus "Pagarinātu līgumu atkārtoti nebūs iespējams" vai papildināt likumprojektu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neparedz ierobežojumu ar operatoru noslēgtā līguma atkārtotai pagarināšanai, savukārt likumprojekta anotācijā norādīts, ka tas "nebūs iespējams". Norādām, ka normatīvā akta anotācija nav juridiski saistoša un tās uzdevums ir pamatot un skaidrot normatīvajā aktā noteikto regulējumu, tādējādi nav pieļaujams likumprojekta anotācijā norādīt no likumprojekta atšķirīgu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paredz jaunus nosacījumus pārdevēja atbrīvošanai no depozīta iepakojuma pieņemšanas pienākuma, jaunas prasības operatoram, kā arī iespēju pagarināt ar operatoru noslēgtā līguma termiņu, lūdzam izvērtēt likumprojekta ietekmi uz Ministru kabineta 2020. gada 11. augusta noteikumos Nr. 519 "Depozīta sistēmas darbības noteikumi" noteikto regulējumu, atbilstoši precizējot likumprojekta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2. pantā piedāvātā Iepakojuma likuma 18.</w:t>
            </w:r>
            <w:r w:rsidR="00000000" w:rsidRPr="00000000" w:rsidDel="00000000">
              <w:rPr>
                <w:vertAlign w:val="superscript"/>
                <w:rtl w:val="0"/>
              </w:rPr>
              <w:t xml:space="preserve">8</w:t>
            </w:r>
            <w:r w:rsidR="00000000" w:rsidRPr="00000000" w:rsidDel="00000000">
              <w:rPr>
                <w:rtl w:val="0"/>
              </w:rPr>
              <w:t xml:space="preserve"> panta trešā daļa paredz pašvaldības saskaņojumu pārdevēja atbrīvošanai no pienākuma pieņemt izlietoto depozīta iepakojumu, lūdzam papildināt likumprojekta anotācijas 7.1. sadaļu ar norādi uz pašvaldībām kā likumprojekta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likumprojekta izpildes ietekmi uz pašvaldību funkcijām (</w:t>
            </w:r>
            <w:r w:rsidR="00000000" w:rsidRPr="00000000" w:rsidDel="00000000">
              <w:rPr>
                <w:i w:val="1"/>
                <w:rtl w:val="0"/>
              </w:rPr>
              <w:t xml:space="preserve">sk. likumprojekta anotācijas 7.4. sadaļu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izteikt pirmās daļas 1., 2., un 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2. pantā piedāvātais Iepakojuma likuma 18.</w:t>
            </w:r>
            <w:r w:rsidR="00000000" w:rsidRPr="00000000" w:rsidDel="00000000">
              <w:rPr>
                <w:vertAlign w:val="superscript"/>
                <w:rtl w:val="0"/>
              </w:rPr>
              <w:t xml:space="preserve">8</w:t>
            </w:r>
            <w:r w:rsidR="00000000" w:rsidRPr="00000000" w:rsidDel="00000000">
              <w:rPr>
                <w:rtl w:val="0"/>
              </w:rPr>
              <w:t xml:space="preserve"> panta pirmās daļas 1. punkts atbilst spēkā esošajam Iepakojuma likuma 18.</w:t>
            </w:r>
            <w:r w:rsidR="00000000" w:rsidRPr="00000000" w:rsidDel="00000000">
              <w:rPr>
                <w:vertAlign w:val="superscript"/>
                <w:rtl w:val="0"/>
              </w:rPr>
              <w:t xml:space="preserve">8</w:t>
            </w:r>
            <w:r w:rsidR="00000000" w:rsidRPr="00000000" w:rsidDel="00000000">
              <w:rPr>
                <w:rtl w:val="0"/>
              </w:rPr>
              <w:t xml:space="preserve"> panta pirmās daļas 1. punktam, lūdzam precizēt likumprojekta 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"7) tā tiešie dalībnieki vismaz 51% apmērā ir depozīta iepakotāji vai biedrības, kuru biedri ir tikai depozīta iepakotāji, un tiem ir vismaz 51% balsstiesību operatorā. Depozīta sistēmas operators visā līguma ar Valsts vides dienestu darbības laikā nodrošina, ka depozīta iepakotājiem vai biedrībām, kuru biedri ir tikai depozīta iepakotāji, pieder balsstiesību vairākums operatorā. Valsts vides dienests ir tiesīgs jebkurā laikā pieprasīt operatoram iesniegt dokumentus, kas apliecina šīs prasības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 pantā piedāvātā Iepakojuma likuma 18.</w:t>
            </w:r>
            <w:r w:rsidR="00000000" w:rsidRPr="00000000" w:rsidDel="00000000">
              <w:rPr>
                <w:vertAlign w:val="superscript"/>
                <w:rtl w:val="0"/>
              </w:rPr>
              <w:t xml:space="preserve">12</w:t>
            </w:r>
            <w:r w:rsidR="00000000" w:rsidRPr="00000000" w:rsidDel="00000000">
              <w:rPr>
                <w:rtl w:val="0"/>
              </w:rPr>
              <w:t xml:space="preserve">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piedāvātā regulējuma nav viennozīmīgi izsecināms, vai vārdkopa "vismaz 51% apmērā" attiecināma uz depozīta sistēmas operatora (turpmāk – operators) tiešo dalībnieku kopskaitu, tiem piederošajām kapitāla daļām vai citu kritēriju. No likumprojekta anotācijas izriet, ka ar likumprojektu paredzēts noteikt divus atsevišķus nosacījumus – 1) vismaz 51 procentu no operatora tiešo dalībnieku kopskaita veido depozīta iepakotāji vai biedrības, kuru biedri ir tikai depozīta iepakotāji, un 2) minētajiem operatora dalībniekiem kopā ir vismaz 51 procents balsstiesību. Vienlaikus no likumprojektā piedāvātā regulējuma minētie nosacījumi nav konstatējami.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pretēji likumprojekta anotācijā norādītājam, ka Eiropas Parlamenta un Padomes 2024. gada 19. decembra Regulas (ES) 2025/40 par iepakojumu un iepakojuma atkritumiem, ar ko groza Regulu (ES) 2019/1020 un Direktīvu (ES) 2019/904 un atceļ Direktīvu 94/62/EK (turpmāk - Regula Nr. 2025/40) 50. panta 11. punktā ir noteikta dalībvalsts rīcības brīvība, minētā regulas norma neparedz dalībvalstij rīcības brīvību. Regulas Nr. 2025/40 50. panta 11. punkts noteic pienākumus dalībvalstīm, kas tām jāizpilda līdz 2029. gada 1. janvārim vai arī, ja tas neizdodas, vēlākais līdz 2035. gada 1. janvārim. Līdz ar to lūdzam attiecīgi precizēt anotācijas 1.6.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likumprojekta anotācijā skaidrot, vai Latvijas esošā depozīta un nodošanas sistēma atbilst Regulas Nr. 2025/40 X pielikumā norādītājām minimālajām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Ādams Vizulis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anotācijas 2.1. sadaļā norādīto likumprojekta ietekmi uz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atbilstoši likumprojekta anotācijā ietvertajam skaidrojumam likumprojektā piedāvātie grozījumi nemazinās izlietotā depozīta iepakojuma pieņemšanas vietu teritoriālo pārklājumu kopumā, ievērojot, ka atsevišķi pārdevēji var tikt atbrīvoti no pienākuma pieņemt izlietoto depozītu, Tieslietu ministrijas ieskatā nav pamata apgalvot, ka likumprojekts fiziskās personas neietekmē. Proti, atsevišķu pārdevēju atbrīvošana no pienākuma pieņemt izlietotā depozīta iepakojumu var radīt nepieciešamību galalietotājiem izmantot citas tuvumā esošās depozīta iepakojuma pieņemšanas vietas vai ietekmēt izlietotā depozīta iepakojuma nodošanas paradumus (piemēram, ja ierastā tirdzniecības vieta depozīta iepakojuma nodošanas iespēju vairs nenodrošina).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skaidrot, vai likumprojekts ietekmē spēkā esošā likuma normas, kurās ieviestas Eiropas Savienības tiesību normas, piemēram, Regulas Nr. 2025/40 50. panta 1. punktā iekļauto pienākumu dalībvalstīm veikt vajadzīgos pasākumus, lai sasniegtu tajā pašā regulas vienībā noteikto mērķi, ja nepieciešams aizpildot likumprojekta anotācijas 5.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Ādams Vizulis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26-TA-940</w:t>
    </w:r>
    <w:r>
      <w:br/>
    </w:r>
    <w:r w:rsidR="00000000" w:rsidRPr="00000000" w:rsidDel="00000000">
      <w:rPr>
        <w:rtl w:val="0"/>
      </w:rPr>
      <w:t xml:space="preserve">Izdrukāts 19.10.2026.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26-TA-940</w:t>
    </w:r>
    <w:r>
      <w:br/>
    </w:r>
    <w:r w:rsidR="00000000" w:rsidRPr="00000000" w:rsidDel="00000000">
      <w:rPr>
        <w:rtl w:val="0"/>
      </w:rPr>
      <w:t xml:space="preserve">Izdrukāts 19.10.2026.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Atzinumi_26-TA-940.docx</dc:title>
</cp:coreProperties>
</file>

<file path=docProps/custom.xml><?xml version="1.0" encoding="utf-8"?>
<Properties xmlns="http://schemas.openxmlformats.org/officeDocument/2006/custom-properties" xmlns:vt="http://schemas.openxmlformats.org/officeDocument/2006/docPropsVTypes"/>
</file>