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24-TA-781: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mediju politikas pamatnostādnes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VI. sadaļā "Indikatīvs ietekmes novērtējums uz valsts un pašvaldību budžetiem" tabulā ar uzdevumiem un plānoto un nepieciešamo papildu finansējumu 2024., 2025. un 2026. gadiem sadaļas "Finansējums kopā", "1.Rīcības virziens. Stipra Latvijas mediju vide un informatīvā telpa" un "1.1. uzdevums. Nodrošināt sabiedrisko mediju attīstību, tuvinot finansējuma apjomu ES vidējam, padarot finansēšanas modeli neatkarīgāku un caurskatamāku, kā arī veicinot dažādu sabiedrības grupu sasniedzamību" papildināt ar uzdevumu "74. Gadskārtējā valsts budžeta izpildes procesā pārdalāmais finansējums" (Sabiedriskais medijs) "valsts pamatfunkciju īstenošana" un kolonnās "Plānotais finansējums" 2024. gadam ar 1 950 687 euro, 2025. gadam ar 20 500 544 euro, 2026. gadam ar 6 879 144 euro apmērā, kas atbilstoši likumam “Par valsts budžetu 2023. gadam un budžeta ietvaru 2023., 2024. un 2025. gadam” un likumam “Par valsts budžetu 2024. gadam un budžeta ietvaru 2024., 2025. un 2026. gadam” šajā resorā ir rezervēts.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Batarāga (SEPLP) (Ina Poriete (SEPLP)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4.sadaļas "Kvalitatīva mediju vide" II Rīcības virziena: Droša mediju vide 3.uzdevuma "Uzlabot sabiedrības medijpratību, īstenojot koordinētu un strateģiski pieeju" līdzatbildīgo institūciju sarakstam pievienot sabiedrisko elektronisko plašsaziņas līdzekļu ombudu, jo atbilstoši Sabiedrisko elektronisko plašsaziņas līdzekļu un to pārvaldības likuma 19. pantā noteiktajam, viena no sabiedrisko elektronisko plašsaziņas līdzekļu ombuda funkcijām ir veicināt sabiedrības medijpratību.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Batarāga (SEPLP) (Ina Poriete (SEPLP)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07.08.2024.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07.08.2024.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Atzinumi_24-TA-781.docx</dc:title>
</cp:coreProperties>
</file>

<file path=docProps/custom.xml><?xml version="1.0" encoding="utf-8"?>
<Properties xmlns="http://schemas.openxmlformats.org/officeDocument/2006/custom-properties" xmlns:vt="http://schemas.openxmlformats.org/officeDocument/2006/docPropsVTypes"/>
</file>