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pārkāpti Komisijas regulas Nr. 2023/2831 nosacījumi, komersantam ir pienākums atmaksāt prasmju fonda pārvaldītājam projekta ietvaros saņemto nelikumīgo komercdarbības atbalstu kopā ar procentiem no līdzekļiem, kas ir brīvi no komercdarbības atbalsta, atbilstoši Komercdarbības atbalsta kontroles likuma IV vai V nodaļas nosacījumiem. No komersanta atgūto nelikumīgo komercdarbības</w:t>
            </w:r>
            <w:r w:rsidR="00000000" w:rsidRPr="00000000" w:rsidDel="00000000">
              <w:rPr>
                <w:i w:val="1"/>
                <w:rtl w:val="0"/>
              </w:rPr>
              <w:t xml:space="preserve"> </w:t>
            </w:r>
            <w:r w:rsidR="00000000" w:rsidRPr="00000000" w:rsidDel="00000000">
              <w:rPr>
                <w:rtl w:val="0"/>
              </w:rPr>
              <w:t xml:space="preserve">atbalstu prasmju fonda pārvaldītājs var atkātoti piešķirt atbalsta programmas ietvaros citam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prasmju fonda pārvaldītājs ir privātpersona un publiskie līdzekļi ir atmaksājami atpakaļ valstij (valsts iestādei), ja tie netiek atkārtoti piešķirti atbalsta programmas ietvaros citam komersantam, lūdzam noteikumu 65.punktu precizēt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pārkāpti Komisijas regulas Nr. 2023/2831 nosacījumi, komersantam ir pienākums atmaksāt prasmju fonda pārvaldītājam projekta ietvaros saņemto nelikumīgo komercdarbības atbalstu kopā ar procentiem no līdzekļiem, kas ir brīvi no komercdarbības atbalsta, atbilstoši Komercdarbības atbalsta kontroles likuma IV vai V nodaļas nosacījumiem. No komersanta atgūto nelikumīgo komercdarbības atbalstu prasmju fonda pārvaldītājs var atkārtoti piešķirt atbalsta programmas ietvaros citam komersantam. Ja no komersanta atgūto nelikumīgo komercdarbības atbalstu prasmju fonda pārvaldītājs atbalsta programmas ietvaros nepiešķir citam komersantam, tad prasmju fonda pārvaldītājam ir pienākums to atmaksāt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izvērstāku skaidrojumu, kāpēc ziņojuma par prasmju fonda pilotprojekta rezultātiem un priekšlikumiem tā darbības pilnveidošanai un turpmākai īstenošanai līdz 2029. gadam, izstrādes un saskaņošanas ar Izglītības ministriju termiņš tiek pagarināts tieši par vienu gadu - līdz 2027.gada 31.maijam.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veiktā grozījuma būtību, kā arī anotācijā noteikto, ka līgumus ar projektu iesniedzējiem plānots noslēgt ne vēlāk kā līdz 2026. gada jūnija sākumam, lai nodrošinātu tiesiskās paļāvības principa ievērošanu, lūdzam papildināt anotāciju ar informāciju par noteikumu projektā ietvertā grozījuma ietekmi uz finansējuma saņēmējiem un līgumiem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4.2.4.1. pasākuma 2.kārtas atlases procesa norisi, t.sk. ieskaitot projektu iesniegumu precizēšanu, un projektu iesniegumu apstiprināšanu, kā arī ievērojot 13.07.2023. MK noteikumu Nr.408 “Kārtība, kādā Eiropas Savienības fondu vadībā iesaistītās institūcijas nodrošina šo fondu ieviešanu 2021.–2027. gada plānošanas periodā” 18. un 19.punkta nosacījumus, līgumi ar finansējuma saņēmējiem tiks noslēgti līdz 2026.gada jūnija beigām, līdz ar to lūdzam anotācijas sadaļā “Risinājuma apraksts” precizēt informāciju par plānoto līgumu slēgšanu, izsakot šādā redakcijā: “Līgumus ar projektu iesniedzējiem plānots noslēgt līdz 2026. gada jūnija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noslēgusies 4.2.4.1. pasākuma “Atbalsts nozaru vajadzībās balstītai pieaugušo izglītībai” otrās kārtas projektu iesniegumu atlase, lūdzam izvērtēt nepieciešamību aktualizēt pasākuma finansējumu atbilstoši projekta iesniegumos apstiprinātajam izmaksu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Meiere-Auziņa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otrās kārtas ietvaros noteikti šādi izmaksu ierobežojumi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33.punktā),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piešķiršanu saistītie nosacījumi, kad komercdarbības atbalsts tiek piešķirts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gala labuma guvējiem ir iespējami komersanti, kuriem ir izsmelts pieejamais de minimis atbalsts  viena vienota uzņēmuma līmenī, kā rezultātā ir liegta iespēja piedalīties apmācībās šīs atbalsta programmas ietvaros, lūdzam izvērtēt iespēju iestrādāt SAM 4241 2.kārtas MK noteikumos nosacījumu, ka atbalstu mācībām gala labuma guvējiem būtu iespējams piešķirt arī saskaņā ar Komisijas regulu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2021/1060 2.panta 9) d)  Komisijas regulas 651/2014 atbalstu drīkst piešķirt tikai CFLA, pirms šādas iespējas iekļaušanas programmas nosacījumos, ir nepieciešama diskusija par papildus finansējumu CFLA  šīs funkcijas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02.06.2026.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02.06.2026.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