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īstenota starpinstitucionālās sadarbības programma “Bērna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tiek īstenota starpinstitucionālās sadarbības programma “Bērna māja”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projektu un anotāciju  ar mērķi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dzīvesvietas skaidojums būtu nepārprotams - vai ar to ir saprotama deklarētā, faktiskā u.c.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dzīvesvietas formulējuma izpratne šajos noteikumos būtu atbilstoša  un saskaņota ar pārējo normatīvo regulējumu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bērna uzklausīšanu veic bērnam saudzējošā veidā un bērnam piemērotā vidē, gādājot par to, lai bērna lietas virzība notiktu bez nepamatotas kavēšanās, pēc iespējas samazinot reižu skaitu, kad bērnam jāizstāsta par piedzīvoto;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Nepilngadīgajam kriminālprocesā tiek piešķirts īpaši aizsargājamā cietušā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1989.gada 20.novembra Bērnu tiesību konvencijas 12.panta 1.punkts noteic, ka dalībvalstis nodrošina bērnam, kas spējīgs formulēt savus uzskatus, tiesības brīvi paust šos uzskatus visos jautājumos, kas skar bērnu, pie tam bērna uzskatiem tiek veltīta pienācīga uzmanība atbilstoši bērna vecumam un brieduma pakāpei. Savukārt Bērnu tiesību aizsardzības likuma 20.panta trešajā daļā noteikts, ka bērnam tiek dota iespēja tikt uzklausītam jebkādās ar viņu saistītās administratīvās procedūrās vai nu tieši, vai ar sava likumīgā pārstāvja vai attiecīgas institūcijas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noteikumu Nr.1037 “Bāriņtiesas darbības noteikumi” 42. punktā noteiktajam, bērnu un to personu viedokli, kurām ar tiesas spriedumu ierobežota rīcībspēja, izskatāmajā lietā bāriņtiesa noskaidro šo personu ierastajā vidē vai citā drošā vidē. Bāriņtiesā šo personu viedokli var noskaidrot, ja šīs personas pašas izteikušas vēlmi ierasties bāriņtiesā. Šo personu izteikto viedokli bāriņtiesa noformē rakstiski.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bērns un tā nevardarbīgie tuvinieki, pārstāvis vai uzticības persona programmas īstenošanas laikā saņem informāciju par darbībām, kas tiek vai tiks veiktas, kā arī par pieejamiem atbalsta pakalpojumiem. Bērnam informāciju sniedz vecumam un briedumam atbilstošā 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un kāda veidā formā (mutiski, rakstiski) bērnam sniegs informāciju par pieejamiem atbalsta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 statusā un uz kāda pamata minēta informācija sniedzama bērna nevardarbīgiem tuviniekiem / uzticības personām – ņemot vērā personas datu aizsardzību, atbilstoši Fizisko personu datu aizsardzības likumam un izmeklēšanas noslēpuma neizpaušanu atbilstoši Kriminālprocesa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tiesību aizsardzības likums regulē aizliegumu izplatīt informāciju par bērnu.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sadarbībā ar tiesībsargājošās, veselības aprūpes pakalpojumu, bērnu tiesību aizsardzības un sociālās jomas speciālistiem, kas iesaistīti bērna un ģimenes gadījuma risināšanā, veic situācijas novērtējumu, lai veikto darbību secība un piešķirtie atbalsta pakalpojumi būtu pēc iespējas atbilstoši bērna un viņa nevardarbīgo tuvinieku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princips ir iekļauts Bāriņtiesu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Bāriņtiesu likuma 17.panta 4.punktu, kas noteic, ka bāriņtiesa sadarbojas ar citām bāriņtiesām, Valsts bērnu tiesību aizsardzības inspekciju,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 53.panta pirmo daļu, kas noteic, ka bāriņtiesas sadarbojas, lai veiktu savus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https://www.at.gov.lv Tiesvedību ilgumu izvērtēšanas darba grupas , 17.09.2020. atzinumā, norādīts,” Ilgo tiesvedību cēloņi lielākoties ir saistīti ar procesā iesaistīto personu rīcību un savstarpējo sadarbību, mazāk ar tiesiska rakstura ierobežojumiem, tāpēc risinājumi galvenokārt ir tādi, kas nav saistīti ar normatīvo aktu grozījumu veikšanu, bet gan ar darba organizācijas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ir iestāde, kurai ir uzticēta valsts funkcija ļoti sensitīvā tiesību aizsardzības jomā – bērnu tiesību un interešu aizsardzībā. Bāriņtiesas kompetence neietver darbību veikšanu, kas būtu pēc iespējas atbilstoši bērna nevardarbīgo tuvinieku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Bāiņtiesu likuma 17.panta 1.punktā noteikts, ka bāriņtiesa aizstāv bērna vai aizgādnībā esošās personas personiskās un mantiskās intereses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darbībām ar bērnu, kas veicamas saskaņā ar programmu “Bērna māja”, saņem bērna likumiskā pārstāvja piekrišanu.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Dažreiz bērnu likumisko pārstāvju (vecāku rīcība kriminālprocesa ietvaros ir pasīva, dažkārt pat ir nevēlēšanās iesaistīties, kas var būtiski ietekmēt bērnu tiesību un likumisko interešu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Bērnu tiesību aizsardzības likuma 52.</w:t>
            </w:r>
            <w:r w:rsidR="00000000" w:rsidRPr="00000000" w:rsidDel="00000000">
              <w:rPr>
                <w:vertAlign w:val="superscript"/>
                <w:rtl w:val="0"/>
              </w:rPr>
              <w:t xml:space="preserve">1</w:t>
            </w:r>
            <w:r w:rsidR="00000000" w:rsidRPr="00000000" w:rsidDel="00000000">
              <w:rPr>
                <w:rtl w:val="0"/>
              </w:rPr>
              <w:t xml:space="preserve"> panta otrās daļas 1. punktā noteiktajos gadījumos, ja inspekcija konsultatīvā atbalsta ietvaros konstatējusi, ka bērna situācijas pilnvērtīgai novērtēšanai ir jāiegūst informācija no bērna, bērnu slimnīcas, bērna dzīvesvietas pašvaldības sociālais dienests vai bāriņtiesa iesniedz inspekcijai lūgumu veikt darbības bērna situācijas novērtēšanai, kurā ir norādīta šāda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iegūtā informācija liecina par iespējamo vērsto vardarbību pret bērnu, bāriņtiesa, pamatojoties uz Bērnu tiesību aizsardzības likuma 51.panta trešo daļu, kas noteic, ka katrai personai ir pienākums ziņot policijai vai citai kompetentai iestādei par vardarbību vai citu pret bērnu vērstu noziedzīgu nodarījumu. Par neziņošanu vainīgās personas saucamas pie likumā noteiktās atbildības, un saskaņā ar Apvienoto Nāciju Organizācijas Ģenerālās Asamblejas Bērnu tiesību deklarāciju un Bērnu tiesību konvenciju, Krimināllikumu, Kriminālprocesa likumu, Administratīvās atbildības likumu un Bērnu tiesību aizsardzības likuma normām, lūdz policiju veikt iepriekš minēto faktu pārbaudi un rīkoties savas kompetences ietvaros, par ko paziņot bāriņtiesai.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iegūta informācija var liecināt par bērnu, kurš iespējams cietis no noziedzīgiem nodarījumiem pret tikumību un dzimumneaizskaramību, kā arī no Krimināllikuma 125. panta otrās daļas 9. punktā, 126. panta otrās daļas 7. punktā, 130. panta trešās daļas 6. punktā un 174. pantā minētajiem noziedzīgajiem nodarījumiem, Bāriņtiesa nekavējoties sniedz informāciju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papildus bāriņtiesai jāsniedz informācija (lūgums izvērtēt situāciju) Bērnu tiesību aizsardzības inspekcijai.  Cik ilgā laika periodā jāsagatavo lūgumu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algoritms nav saprotams: inspekcija ir konstatējusi, ka  bērna situācijas pilnvērtīgai novērtēšanai ir jāiegūst informācija no bērna, bērnu slimnīcas. Kādēļ bērna dzīvesvietas pašvaldības sociālajam dienestam vai bāriņtiesai jāsniedz inspekcijai lūgumu veikt darbības bērna situācijas novērtēšanai?  Vai nebūtu loģiski, ja inspekcija, pamatojoties uz iegūto informāciju, lūdz sociālo dienestu vai bāriņtiesu veikt konkrētas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Inspekcija pieņem bērna likumiskā pārstāvja iesniegumu par nepieciešamību bērnam piešķirt sociālās rehabilitācijas pakalpojumus, ja bērna likumiskais pārstāvis ir izteicis lūgumu par šo pakalpojumu nodrošināšanu, minētajā iesniegumā norādot bērna, kuram sociālās rehabilitācijas pakalpojums piešķirams, vārdu, uzvārdu, personas kodu vai dzimšanas datus, ja bērnam nav personas koda, faktisko dzīvesvietas adresi, vēlamo sociālā rehabilitācijas pakalpojuma sniegšanas vietu un vēlamo sociālās rehabilitācijas pakalpojuma uzsākšanas datumu, kā arī norādot, no kāda veida vardarbības bērns cietis un kur tā notikusi.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kura institūcija pieņem lēmumu par sociālās rehabilitācijas pakalpojuma piešķiršanu, ja pakalpojums tiek nodrošināts Bērna mājas ietvaros. Jo MK noteikumi Nr.1613 “Kārtība, kādā nepieciešamo palīdzību sniedz bērnam, kurš cietis no prettiesiskām darbībām” nosaka kārtību kādā par valsts budžeta līdzekļiem sniedz nepieciešamo palīdzību no vardarbības cietušiem bērniem. Minētajos noteikumos nav atrunāts, ka pakalpojumu piešķir Bērna māja.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Inspekcija nodrošina bērnam sociālo rehabilitāciju programmā “Bērna māja”, ja bērna likumiskais pārstāvis iesniedzis iesniegumu par nepieciešamību bērnam piešķirt sociālās rehabilitācijas pakalpojumu un ja saskaņā ar rekomendācijām minētais pakalpojums sniedzams programmā “Bērna māja”. Programmā “Bērna māja” sociālās rehabilitācijas pakalpojumu sniedz klīniskajā un veselības un konsultatīvajā psihologu profesionālās darbības jomā Psihologu reģistrā reģistrēti psihologi.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atrunāt, ka gadījumā, ja programmā Bērna māja paši nodrošina sociālo rehabilitāciju bērnam, tad viņi informē par to sociālo dienestu, lai novērstu pakalpojuma piešķiršanu dubultā, ja otrs bērna likumiskais pārstāvis to lūgs nodrošināt caur sociālo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praksē ir gadījumi, kad bērna likumiskie pārstāvji vienlaicīgi savas dzīvesvietas sociālajā dienestā pieprasa piešķirt vienu un to pašu pakalpojumu vai arī gadījumos, kad bērns saņem pakalpojumu pie vecāka privāti izvēlētā speciālista.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Inspekcija nodrošina iespēju pašvaldības sociālajiem dienestiem iesniegt inspekcijai šajos noteikumos minēto informāciju, izmantojot datu apmaiņas risinājumu starp pašvaldību sociālās palīdzības un sociālo pakalpojumu administrēšanas lietojumprogrammu (turpmāk - lietojumprogramma SOPA) un inspekcijas uzturēto informācijas sistēmu tiešsaistes datu pārraides režīmā ar informācijas sistēmu sasaistes līdzekļu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normatīvā akta projektu, secinām ,ka ,lai gan projekta  33. punktā ir norāde, ka Inspekcija nodrošina iespēju pašvaldības sociālajiem dienestiem iesniegt inspekcijai šajos noteikumos minēto informāciju, izmantojot datu apmaiņas risinājumu starp pašvaldību sociālās palīdzības un sociālo pakalpojumu administrēšanas lietojumprogrammu (turpmāk - lietojumprogramma SOPA) un inspekcijas uzturēto informācijas sistēmu tiešsaistes datu pārraides režīmā ar informācijas sistēmu sasaistes līdzekļu palīdzību, ietekmes uz valsts un pašvaldības budžetu nav ,savukārt Anotācijas sadaļā Tiesību akta projekta ietekme uz valsts budžetu un pašvaldību budžetiem saistībā ar datu integrāciju starp sistēmām  nav norādīta ietekme ne uz valsts, ne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datu apmaiņas sistēmu integrācijas izmaksu ietekmi uz valsts un pašvaldību budžetu un to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kādēļ datu apmaiņas risinājums paredzēts tikai ar programmu SOPA, lai gan informācijas apmaiņa plānota arī ar citām institūcijām, piemērm, bāriņtiesa, bērnu slimnīca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33.punktā minēto automatizēto datu apmaiņa nodrošina no brīža, kad ir izveidots attiecīgs datu apmaiņas tehniskais risinājums, kā arī pie nosacījuma, ka, ja lietojumprogrammas SOPA lietotāji minētos datus uzkrāj attiecīgajā lietojumprogrammā. Līdz tehniskā risinājuma izveidei attiecīgos datus inspekcijai iesniedz pašvaldības sociālais dienests, izmantojot citus normatīvajos aktos noteiktos informācijas apmaiņas veidus vai piešķirot inspekcijai piekļuvi lietojumprogrammā SOPA esošajiem datiem skatīšanās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un norādīt, kādā termiņā ir plānots nodrošināt automatizēto datu apmaiņu, kā arī kāda ir ietekme uz valsts un pašvaldību budžetu šī risinājuma ieviešanai (skat.iebildumu arī pie 33.punkta).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kompetencei un darbības mērķiem programmas “Bērna māja” ietvaros sadarbojas: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institūciju sarakstu ar pašvaldības policiju un ārpusģimenes aprūpes iestādēm. Jo ikdienā šīs institūcijas arī tiek iesaistītas bērnu tiesību aizsardzībā un viņām var būt informācija, kas var nebūt citām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pašvaldību sociālie dienesti;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vienota parauga veidlapas, lai sociālie darbinieki, sniedzot informāciju Bērna mājai, korekti sagatavotu pieprasīto informāciju. Darbiniekiem nodrošināt izglītojošus, metodiskus norādījumus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informē bērnu, tā likumisko pārstāvi vai citu bērna tuvinieku, ja bērna likumiskais parstāvis ir bijis iespējamais vardarbības pret bērnu veicējs, par darbībām, kādas ir plānots veikt programmas “Bērna māja” ietvaros un nodrošina iespēju klātienē aplūkot programmas īstenošanas telpas.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pārformulēt šo punktu, jo šādā redakcijā rodas priekšstats, ka ja likumiskais pārstāvis ir arī vardarbības veicējs, tad viņu informē, ko darīs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ka domāts ir, ja likumiskais pārstāvis ir bijis iespējamais vardarbības pret bērnu veicējs, tad šādā gadījumā informē citu bērna tuvinieku.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Pēc bērnu slimnīcas, bērna dzīvesvietas pašvaldības sociālā dienesta vai bāriņtiesas iesniegtā lūguma izvērtēšanas, inspekcija: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punktu papildināt un izteikt šādā redakcijā: “16. Pēc bērnu slimnīcas, bērna dzīvesvietas pašvaldības sociālā dienesta, ārpusģimenes aprūpes iestādes vai bāriņtiesas iesniegtā lūguma izvērtēšanas,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bērns atrodas ārpusģimenes aprūpes iestādē, tad paredzēt iespēju arī ārpusģimenes aprūpes iestādēm vērsties Bērna mājā ar lūgumu.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par atbildīgo pašvaldības sociālā dienestu un sociālā gadījuma vadītāju;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par atbildīgo </w:t>
            </w:r>
            <w:r w:rsidR="00000000" w:rsidRPr="00000000" w:rsidDel="00000000">
              <w:rPr>
                <w:u w:val="single"/>
                <w:rtl w:val="0"/>
              </w:rPr>
              <w:t xml:space="preserve">pašvaldības sociālā dienestu </w:t>
            </w:r>
            <w:r w:rsidR="00000000" w:rsidRPr="00000000" w:rsidDel="00000000">
              <w:rPr>
                <w:rtl w:val="0"/>
              </w:rPr>
              <w:t xml:space="preserve">un sociālā gadījuma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apakšpunkta redakciju. Nav saprotams, vai ir domāts atbildīgais pašvaldības sociālais dienests vai atbildīgais sociālā dienesta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par to, vai veikts bērna risku un vajadzību izvērtējums, kā arī izvērtējuma veikšanas datums;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kuras ir tās kompetentās iestādes, kuras vērtēs bērna riskus un vajadzību izvērtējumu. Vai šinī gadījumā tās ir sociālie dienesti un bāriņtiesas? Būtu jāņem vērā 13.06.2017. Ministru kabineta noteikumos “Prasības sociālo pakalpojumu sniedzējiem” noteiktais, ka sociālais dienests 14.5. atbilstoši šo noteikumu 3. pielikumā minētajiem kritērijiem veic riska novērtēšanu ģimenēs ar bērniem, kurās ir bērna attīstībai nelabvēlīgi apstākļi, aizpilda šo noteikumu 4. pielikumā minēto riska novērtējuma anketu par bērnu, bērna vecākiem un, ja nepieciešams, citām pilngadīgām personām, kas piedalās bērna ikdienas aprūpē vai arī veic daudzpakāpju izvērtēšanu ģimenēs ar bērniem. Daudzpakāpju izvērtēšanu veic sociālais darbinieks, kurš ir pilnveidojis savu profesionālo kompetenci, piedaloties Labklājības ministrijas mācībās un apgūstot uz ģimeni vērsta sociālā gadījuma vadīšanas modeli darbam ģimenēs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gadījumos, ja sociālie dienesti veic daudzpakāpju izvērtēšanu un neveic risku izvērtēšanu, tāda informācija tiks uzskatīta par derīgu, vai tomēr papildus tiks gaidīts šāds risku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Personas datu apstrāde programmā “Bērna māja”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39.punktu, kurā atrunāt likumiskā nevardarbīgā pārstāvja pienākumus nodrošināt bērna dalību Bērna mājas programmā un arī rekomendāciju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gadījumus, kad otrs likumiskais pārstāvis neiesaistās sadarbībā un nenodrošina, piemēram, bērna aizvešanu uz sociālās rehabilitācijas pakalpojumu dzīvesvietā, jo ir līdzatkarīgs no vardarbības veicēja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Inspekcijai ir tiesības atteikt bērna likumiskajam pārstāvim vai tuviniekam sniegt informāciju par bērnu un programmas “Bērna māja” īstenošanu, ja šādas informācijas izpaušana var kaitēt bērna interesēm. Pieņemto lēmumu par atteikumu pievieno lietai par programmas “Bērna māja”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institūciju klāstu, piemēram, iekļaujot arī sociālos dienestu, paredzot tiesības atteikt bērna likumiskajam pārstāvim vai tuviniekam sniegt informāciju par bērnu un programmas “Bērna māja” īstenošanu, ja šādas informācijas izpaušana var kaitēt bērna interesēm, ja šī informācija ir pieejama sociālajam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nepieciešams, lai novērstu situācijas, kad Inspekcija atsaka bērna likumiskajam pārstāvim vai tuviniekam sniegt informāciju par bērnu un programmas “Bērna māja” īstenošanu, bet minētā informācija ir pieejama sociālajam dienestam un viņi vēršas un izprasa šo informāciju no sociālā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anotācijā norādīts: Respektīvi tas, ka bērns ir vai nav saņēmis sociālo rehabilitāciju programmā “Bērna māja”, neierobežo bērna tiesības saņemt sociālās rehabilitācijas pakalpojumu bērna dzīvesvietā, iestādē vai sociālās rehabilitācijas institūcijā, par kura nodrošināšanu konkrētajam bērnam izlemj pašvaldības sociālais dienests saskaņā ar Ministru kabineta 2009. gada 22. decembra noteikumiem nr. 1613 “Kārtība, kādā nepieciešamo palīdzību sniedz bērnam, kurš cietis no prettiesiskām darbībām”. Pakalpojumi ir papildinoši un to nepieciešamība katra bērna gadījumā tiek individuāli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Bērns ir nonācis “Bērna mājā” ar policijas atzinumu kriminālprocesa ietvaros un saņēmis sociālo rehabilitāciju. Vai pēc tam Bērna māja informē sociālo dienestu par saņemtajiem pakalpojumiem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sociālais dienests nodrošina sociālo rehabilitāciju saskaņā ar MK nr..1613, tad būtu jāzina informācija par iepriekšējo rehabilitāciju.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18.08.2023.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18.08.2023.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Atzinumi_23-TA-626.docx</dc:title>
</cp:coreProperties>
</file>

<file path=docProps/custom.xml><?xml version="1.0" encoding="utf-8"?>
<Properties xmlns="http://schemas.openxmlformats.org/officeDocument/2006/custom-properties" xmlns:vt="http://schemas.openxmlformats.org/officeDocument/2006/docPropsVTypes"/>
</file>