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mazām sabiedrībām, izņemot mikro sabiedrībām, un vidējām sabiedrībām, kuru pārvedami vērtspapīri ir iekļauti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normas gramatiskā konstrukcija veidota tā, ka nošķir 2 sabiedrību grupas: 1) mazas sabiedrības, kas nav mikrosabiedrības un 2) vidējas sabiedrības, kuru pārvedami vērtspapīri ir iekļauti regulētajā tirgū, tādējādi izvirzot mazām sabiedrībām prasības sniegt ilgtspējas ziņojumus, neatkarīgi no to vērtspapīru kotācijas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gramatisko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vidējām sabiedrībām un mazām sabiedrībām, izņemot mikro sabiedrībām, ja šo sabiedrību pārvedami vērtspapīri ir iekļauti regulētajā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iespējas, kas saistītas ar ilgtspējas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normas redakcija nesniedz skaidru izpratni par to, kas saprotams ar jēdzienu "iespējas" - vai ar to aptvertas pozitīvas attīstības perspektīvas nākotnē, vai dažādi potenciālie attīstības vai notikumu scenāriji? Lūdzam precizēt normas tekstu un skaidrot anotācijā šīs prasības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plāni, cita starpā īstenošanas darbības un saistītie finanšu un investīciju plāni, ar mērķi nodrošināt, ka tā darbības modelis un stratēģija ir vērsti uz pārkārtošanos uz ilgtspējīgu ekonomiku un globālās sasilšanas ierobežošanu līdz 1,5 °C saskaņā ar Apvienoto Nāciju Organizācijas Vispārējās konvencijas par klimata pārmaiņām ietvaros 2015. gada 12. decembrī pieņemto Parīzes nolīgumu un mērķi līdz 2050. gadam panākt klimatneitralitāti, kā noteikts Eiropas Parlamenta un Padomes 2021. gada 30. jūnija Regulā (ES) Nr. 2021/1119 ar ko izveido klimatneitralitātes panākšanas satvaru un groza Regulas (EK) Nr. 401/2009 un (ES) 2018/1999 “Eiropas Klimata akts” (turpmāk – Regula (ES) Nr. 2021/1119), un attiecīgā gadījumā ar to, cik lielā mērā likuma subjektu ietekmē ar oglēm, naftu un gāzi saistītas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teikuma daļu "un attiecīgā gadījumā ar to, cik lielā mērā likuma subjektu ietekmē ar oglēm, naftu un gāzi saistītas darbības", jo pašreizējā gramatiskā redakcija nav saskaņota ar teikuma sākumu, kā arī nerada skaidrību par to, kā saprotams ar frāzi "ar oglēm, naftu un gāzi saistītas darbības"- kāda subjekta (valsts, starptautisko organizāciju, pakalpojumu sniedzēju vai saņēmēju?) darbības un kāda veida darbības ziņojuma sagatavotājam ir jāvērtē un jāapraksta.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subjekta izvirzīto ilgtspējas mērķu un rādītāju apraksts un plānotie termiņi, un, ja piemērojams, absolūtie siltumnīcu gāzu emisiju samazināšanas mērķi un rādītāji vismaz 2030. un 2050. gadam, apraksts par likuma subjekta īstenotajiem pasākumiem un paziņojums par mērķu un rādītāju sasaisti ar zinātniski pamatotiem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likuma subjektiem atvieglotu šīs prasības izpildi, lūdzam anotācijā skaidrot un sniegt piemērus, kādi avoti varētu tikt uzskatīti par "zinātniski pamatotiem datiem" attiecībā uz mērķiem, un kādi - attiecībā uz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likuma subjekta īstenoto pienācīgas rūpības procesu vadību attiecībā uz ilgtspējas jautājumiem, un saskaņā ar normatīvo regulējumu, ar kuru ir ieviestas Eiropas Savienības pienācīgas rūpības procesa prasības,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gramatiskā redakcija nav saskaņota ar normas ievada daļu.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Meitas sabiedrība nodrošina, lai mātes sabiedrības sagatavotais konsolidētais vadības ziņojums ir publicēts tās tīmekļvietnē latviešu valodā. Visos tulkojumos, kas nav apliecināti, iekļauj attiecīgu paziņojumu.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satura apliecinājums jāiekļauj. Vēršam uzmanību, ka no pašreizējās gramatiskās redakcijas nav skaidrs, vai apliecinājums attiecas uz tulkojuma vai vadības ziņojuma apliecināšanu.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Trešajā valstī reģistrētas sabiedrības meitas sabiedrība, ir atbrīvota no ilgtspējas ziņojuma sagatavošanas šā likuma 4. pantā noteiktajā kārtībā, ja ziņas par šāda likuma subjekta un tās meitas sabiedrības (ja attiecināms) ilgtspējas jautājumiem ir iekļautas likuma subjekta mātes sabiedrības konsolidētajā ilgtspējas ziņojumā, kurš sagatavots saskaņā ar ilgtspējas ziņu sniegšanas standartiem, kuri pieņemti atbilstoši šā likuma 10. pantā noteiktajam vai veidā, kas ir līdzvērtīgs minētajiem ilgtspējas ziņu sniegšanas standartiem, kā noteikts saskaņā ar īstenošanas aktu par ilgtspējas ziņu sniegšanas standartu līdzvērtīgumu, un ir ievēroti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šā likuma 10. pantā minēti Eiropas Komisijas apstiprināti ilgtspējas ziņu sniegšanas standarti. Lūdzam vienkāršot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tiesību akta projektā netiek atšifrēts, kāds tiesību akts tiek apzīmēts ar "īstenošanas aktu par ilgtspējas ziņu sniegšanas standartu līdzvērtīgumu". Lai novērstu neskaidrības un atvieglotu normu piemērošanu, vēlams atsaucē norādīt konkrētu tiesību aktu vai (līdzīgi kā EIROPAS PARLAMENTA UN PADOMES direktīvā (ES) 2022/2464 (2022. gada 14. decembris), ar ko attiecībā uz korporatīvo ilgtspējas ziņu sniegšanu groza Regulu (ES) Nr. 537/2014, Direktīvu 2004/109/EK, Direktīvu 2006/43/EK un Direktīvu 2013/34/ES) izteikt teikuma daļu aiz saikļa "vai" šādā redakcijā "veidā, kas ir līdzvērtīgs minētajiem ilgtspējas ziņu sniegšanas standartiem, kā noteikts saskaņā ar īstenošanas aktu par ilgtspējas ziņu sniegšanas standartu līdzvērtīgumu, kurš pieņemts atbilstīgi Eiropas Parlamenta un Padomes Direktīvas 2004/109/EK (*11) 23. panta 4. punkta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līdzīga atsauce "veidā, kas ir līdzvērtīgs minētajiem ilgtspējas ziņu sniegšanas standartiem, kā noteikts saskaņā ar īstenošanas aktu par ilgtspējas ziņu sniegšanas standartu līdzvērtīgumu" ir izmantota tiesību akta projekta tekstā trīs reizes, un paplašinātais (precizētais) skaidrojums apgrūtina normas uztveramību, rosinām apsvērt terminu "Eiropas ziņošanas standarti" un "līdzvērtīgi ziņošanas standarti" definēšanu.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 panta pirmās daļas 3. punktā minētā trešās valsts sabiedrības meitas sabiedrība publicē un dara pieejamu ilgtspējas ziņojumu, kas ietver šā likuma 7. panta otrās daļas 1. punkta "c", "d", "e" apakšpunktā, 2., 3., 4., 5., 6. punktā un, ja attiecināms, 8. punktā norādīto informāciju, darot to trešās valsts mātes sabiedrības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interpretāciju un piemērošanu, lūdzam skaidrot vai tiesību akta projektā precizēt atšķirību starp pienākumu "publiskot" un "darīt pieejamu" attiecīgo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tiesību akta projektā izmantot jēdzienu "publiskot", nevis "publicēt", jo termins "publicēt" attiecināms nevis uz informācijas ievietošanu mājas lapā, bet uz informācijas atklāšanu drukātā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Neatkarīgi no šā panta otrās daļas, šā panta pirmajā daļā minēto ilgtspējas ziņojumu var sagatavot saskaņā ar ilgtspējas ziņu sniegšanas standartiem, saskaņā ar šā likuma 10. pantu, vai tādā veidā, kas ir līdzvērtīgs minētajiem ilgtspējas ziņu sniegšanas standartiem, kā noteikts saskaņā ar īstenošanas aktu par ilgtspējas ziņu sniegšanas standartu līdzvērtīgumu.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projektā netiek atšifrēts, kāds tiesību akts tiek apzīmēts ar "īstenošanas aktu par ilgtspējas ziņu sniegšanas standartu līdzvērtīgumu". Lai novērstu neskaidrības un atvieglotu normu piemērošanu, vēlams atsaucē norādīt konkrētu tiesību aktu vai (līdzīgi kā EIROPAS PARLAMENTA UN PADOMES direktīvā (ES) 2022/2464 (2022. gada 14. decembris), ar ko attiecībā uz korporatīvo ilgtspējas ziņu sniegšanu groza Regulu (ES) Nr. 537/2014, Direktīvu 2004/109/EK, Direktīvu 2006/43/EK un Direktīvu 2013/34/ES) izteikt teikuma daļu aiz saikļa "vai" šādā redakcijā "veidā, kas ir līdzvērtīgs minētajiem ilgtspējas ziņu sniegšanas standartiem, kā noteikts saskaņā ar īstenošanas aktu par ilgtspējas ziņu sniegšanas standartu līdzvērtīgumu, kurš pieņemts atbilstīgi Eiropas Parlamenta un Padomes Direktīvas 2004/109/EK (*11) 23. panta 4. punkta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līdzīga atsauce "veidā, kas ir līdzvērtīgs minētajiem ilgtspējas ziņu sniegšanas standartiem, kā noteikts saskaņā ar īstenošanas aktu par ilgtspējas ziņu sniegšanas standartu līdzvērtīgumu" ir izmantota tiesību akta projekta tekstā trīs reizes, un paplašinātais (precizētais) skaidrojums apgrūtina normas uztveramību, rosinām apsvērt termina "līdzvērtīgi ziņošanas standarti" definēšanu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Neatkarīgi no šā panta trešās daļas, šā panta pirmajā daļā minēto ilgtspējas ziņojumu var sagatavot saskaņā ar ilgtspējas ziņu sniegšanas standartiem, saskaņā ar šā likuma 10. pantu, vai tādā veidā, kas ir līdzvērtīgs minētajiem ilgtspējas ziņu sniegšanas standartiem, kā noteikts saskaņā ar īstenošanas aktu par ilgtspējas ziņu sniegšanas standartu līdzvērtīgumu.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teikuma daļu "saskaņā ar ilgtspējas ziņu sniegšanas standartiem, saskaņā ar šā likuma 10. pantu," aizstājot ar vārdiem "saskaņā ar šā likuma 10.pantā norādītajiem ilgtspējas ziņu sniegšanas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projektā netiek atšifrēts, kāds tiesību akts tiek apzīmēts ar "īstenošanas aktu par ilgtspējas ziņu sniegšanas standartu līdzvērtīgumu". Lai novērstu neskaidrības un atvieglotu normu piemērošanu, vēlams atsaucē norādīt konkrētu tiesību aktu vai (līdzīgi kā EIROPAS PARLAMENTA UN PADOMES direktīvā (ES) 2022/2464 (2022. gada 14. decembris), ar ko attiecībā uz korporatīvo ilgtspējas ziņu sniegšanu groza Regulu (ES) Nr. 537/2014, Direktīvu 2004/109/EK, Direktīvu 2006/43/EK un Direktīvu 2013/34/ES) izteikt teikuma daļu aiz saikļa "vai" šādā redakcijā "veidā, kas ir līdzvērtīgs minētajiem ilgtspējas ziņu sniegšanas standartiem, kā noteikts saskaņā ar īstenošanas aktu par ilgtspējas ziņu sniegšanas standartu līdzvērtīgumu, kurš pieņemts atbilstīgi Eiropas Parlamenta un Padomes Direktīvas 2004/109/EK (*11) 23. panta 4. punkta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līdzīga atsauce "veidā, kas ir līdzvērtīgs minētajiem ilgtspējas ziņu sniegšanas standartiem, kā noteikts saskaņā ar īstenošanas aktu par ilgtspējas ziņu sniegšanas standartu līdzvērtīgumu" ir izmantota tiesību akta projekta tekstā trīs reizes, un paplašinātais (precizētais) skaidrojums apgrūtina normas uztveramību, rosinām apsvērt termina "līdzvērtīgi ziņošanas standarti" definēšanu.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ilgtspējas ziņojuma sagatavošanu un publiskošanu tīmekļvietnē šā likuma 13. pantā noteiktajā kārtībā ir atbildīgi trešās valsts sabiedrības meitas sabiedrības (akciju sabiedrības, sabiedrības ar ierobežotu atbildību) valdes un padomes (ja ir izveidota padome) locekļi atbilstoši to zināšanām un 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valde un padome ir koleģiālas institūcijas un rīkojas kopīgi, tādēļ to atbildība ir solidāra. Normas pašreizējā redakcijā atbildība attiecināta uz katru valdes un padomes locekli individuāli, kas neatbilst Komerclikumā noteiktajiem atbildības principiem. Tāpat lūdzam ņemt vērā, ka padomes kompetencē neietilpst kapitālsabiedrības pārskatu sagatavošana, tādēļ padomes loceklim, pat ja viņa zināšanas un spējas ir pietiekamas ilgtspējas ziņojuma sagatavošanai, nevar tikt piemērota atbildība par ziņojuma nesagatavošanu.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nepieciešams precizēt normu, nosakot padomes un valdes locekļu koleģiālu atbildību (valde un padome) un vārdu "spējām" aizstāt ar vārdu "kompetencei".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Mazai un vidējai sabiedrībai, izņemot mikro sabiedrību, kuras pārvedami vērtspapīri ir iekļauti regulētajā tirgū ir pienākums sagatavot šā likuma 4. pantā minēto ilgtspējas ziņojumu sākot ar 2026. pārskata gadu (pārskata gadu, kurš sākas 2026. gada 1. janvārī vai 2026. kalendāra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kopējai tiesību akta jēgai pretēju interpretāciju, rosinām precizēt normas redakciju, teikuma daļu, kurā izteikts kritērijs "kuras pārvedami vērtspapīri ir iekļauti regulētajā tirgū" aizstājot ar vārdiem "ja šādas sabiedrības pārvedami vērtspapīri ir iekļauti regulētajā tirgū". (Tāds pats rezultāts panākams, palīgteikumu, kurā izteikts attiecīgais kritērijs, mainot vietām ar izņēmuma atrunu - līdzīgi kā Pārejas noteikumu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Mazai un vidējai sabiedrībai, izņemot mikro sabiedrību, ja šādas sabiedrības pārvedami vērtspapīri ir iekļauti regulētajā tirgū, ir pienākums sagatavot šā likuma 4. pantā minēto ilgtspējas ziņojumu sākot ar 2026. pārskata gadu (pārskata gadu, kurš sākas 2026. gada 1. janvārī vai 2026. kalendāra gada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lielas sabiedrības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gramatiskā redakcija liek izdarīt secinājumu, ka 1. punktā norādītos kritērijus ir pieņēmusi liela sabiedrība, bet 2.punktā - maza vai vidēja sabiedrība. Lūdzu precizēt normas gramatisko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lielas sabiedrības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gramatiskā redakcija liek izdarīt secinājumu, ka a 1. punktā norādītos kritērijus ir pieņēmusi liela sabiedrība, bet 2.punktā - maza vai vidēja sabiedrība. Lūdzu precizēt normas gramatisko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tiesību aktā daudzkārt izmantots "lielas sabiedrības noteiktie kritēriji", "mazas un vidējas sabiedrības noteiktie kritēriji" u.tml., tomēr nav precizēts kur šādi kritēriju ir noteikti. Lai vienkāršotu normu tekstu un atvieglotu to uztveramību, iesakām likumprojekta 1.panta otrajā daļā papildus norādīt, ka sabiedrības lieluma noteikšanai tiek izmantoti Gada pārskatu un konsolidēto gada pārskatu likumā noteiktie kritēriji, bet likuma normās, kas definē prasības subjektiem pēc to lieluma, neizmantot vārdus "noteiktie kritēriji", lietojot vienkāršotu formu "lielas sabiedrības", "mazas un vidējas sabiedrības".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Ilgtspējas informācijas atklāšanas likums paredz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Deksne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ilgtspējas ziņojums</w:t>
            </w:r>
            <w:r w:rsidR="00000000" w:rsidRPr="00000000" w:rsidDel="00000000">
              <w:rPr>
                <w:rtl w:val="0"/>
              </w:rPr>
              <w:t xml:space="preserve"> – ar ilgtspējas jautājumiem saistīta informācija saskaņā ar šā likuma 4., 7. pantu un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atsauces normas nosaka ziņojuma saturiskās un tehniskās formas prasības un Iesakām precizēt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ilgtspējas ziņojums – ar ilgtspējas jautājumiem saistīta informācija, </w:t>
            </w:r>
            <w:r w:rsidR="00000000" w:rsidRPr="00000000" w:rsidDel="00000000">
              <w:rPr>
                <w:b w:val="1"/>
                <w:rtl w:val="0"/>
              </w:rPr>
              <w:t xml:space="preserve">kas tiek sniegta</w:t>
            </w:r>
            <w:r w:rsidR="00000000" w:rsidRPr="00000000" w:rsidDel="00000000">
              <w:rPr>
                <w:rtl w:val="0"/>
              </w:rPr>
              <w:t xml:space="preserve"> saskaņā ar šā likuma 4., 7. pantu un 12.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apraksts par likuma subjekta valdes, padomes un citas līdzīgas pārvaldes institūcijas funkcijām ilgtspējas jautājumu risināšanā un to zinātību un prasmju atbilstību funkciju izpildei vai resursiem, kas pieejami šādu zinātību vai prasmju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saiklis "vai" šķietami saista vārdus "izpildei" un "resursiem", radot priekšstatu, ka tie abi paskaidro vārdu "atbilstība (atbilstība funkciju izpildei vai resursiem"), tomēr normas jēga, visticamāk, ir norādīt uz izvēli likuma subjektam ziņojumā atspoguļot pārvaldes institūcijas zinātību ilgtspējas jautājumu risināšanai, vai pārvaldes institūcijas piekļuvi resursiem, kas veicina nepieciešamo zināšanu un prasmju ieguvi.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atšķirīgu interpretāciju,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apraksts par likuma subjekta valdes, padomes un citas līdzīgas pārvaldes institūcijas funkcijām ilgtspējas jautājumu risināšanā un to zinātību un prasmju atbilstību funkciju izpildei vai </w:t>
            </w:r>
            <w:r w:rsidR="00000000" w:rsidRPr="00000000" w:rsidDel="00000000">
              <w:rPr>
                <w:b w:val="1"/>
                <w:rtl w:val="0"/>
              </w:rPr>
              <w:t xml:space="preserve">par </w:t>
            </w:r>
            <w:r w:rsidR="00000000" w:rsidRPr="00000000" w:rsidDel="00000000">
              <w:rPr>
                <w:rtl w:val="0"/>
              </w:rPr>
              <w:t xml:space="preserve">resursiem, kas pieejami šādu zinātību vai prasmju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šā panta pirmo un otro daļu sniegtajai informācijai, kur tas nepieciešams, jāietver informācija par paša likuma subjekta darbību un par tā vērtību ķēdi, arī tā produktiem un pakalpojumiem, komercdarbības attiecībām un piegāžu ķēdēm.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šī norma nedublē panta otrās daļas 6.punkta b) apakšpunkta prasību un tādēļ nav izslēdzama.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2030. gada 6. janvārim tāda Eiropas Savienības meitas sabiedrība, kuras mātes sabiedrību nereglamentē Eiropas Savienības dalībvalsts tiesību akti, un kurai no Eiropas Savienības koncerna meitas sabiedrībām vienā no pieciem iepriekšējiem pārskata gadiem Eiropas Savienībā ir lielākais apgrozījums, attiecīgā gadījumā konsolidēti var sagatavot konsolidētu ilgtspējas ziņojumu saskaņā ar šā likuma 7. panta prasībām, ietverot visas šādas mātes sabiedrības Eiropas Savienības meitas sabiedrības, uz kurām attiecas šā likuma 4. pants vai 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jēdziena "Eiropas Savienības meitas sabiedrība" vietā izmantot "Eiropas Savienības valstī reģistrēta meitas sabiedrība", kā arī precizēt teikuma daļu "konsolidēti var sagatavot konsolidētu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Piemērojot šā likuma 5. un 6. pantā un  8. un 9. pantā noteikto atbrīvojumu meitas sabiedrībai un mātes sabiedrībai, ziņošanu saskaņā ar šo pārejas noteikumu 1. punktā minēto uzskata par mātes sabiedrības ziņošanu koncerna līmenī attiecībā uz konsolidācijā iekļautajām sabiedrībām. Uzskata, ka ziņošana saskaņā ar pārejas noteikumu 2. punktā minēto atbilst attiecīgi šā likuma 6. panta un 9. panta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teikuma daļu "ziņošanu saskaņā ar šo pārejas noteikumu 1. punktā minēto" aizstāt ar "ziņošanu atbilstoši šo pārejas noteikumu 1. punktā norādītajai kārtībai", un teikuma daļu "ziņošana saskaņā ar pārejas noteikumu 2. punktā minēto" aizstāt ar "ziņošana atbilstoši pārejas noteikumu 2. punktā norādītajai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 termiņi, sākot ar kuriem ilgtspējas ziņojuma sagatavošanas prasības attieksies uz dažāda lieluma sabiedrībām (sākot ar 2024. pārskata gadu - uz lielu sabiedrību, kuras darbinieku skaits ir lielāks par 500;  ar 2025. pārskata gadu - uz visām lielām sabiedrībām; ar 2026. pārskata gadu - uz mazām un vidējām sabiedrībām). Lai sniegtu lēmumu pieņēmējiem un likumdevējam priekšstatu par likumprojekta ietekmēto sabiedrību daudzumu, ierosinām likumprojekta anotācijā norādīt  lielo, vidējo un mazo sabiedrību skaitu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Valsts ieņēmumu dienests (VID) veic izmaksu aprēķināšanu, kas būs nepieciešamas, lai veiktu izmaiņas VID informācijas sistēmās saistībā ar likumprojektā ietvertajām prasībām. Ievērojot minēto, aicinām anotācijas 1.5. daļā izvērtēt iespēju paredzēt šī likumprojekta pēcpārbaudes  (ex-post)  izvērtējumu, kas tiks panākts ar plānoto VID informācijas sistēmas uzlabojumu, nosakot periodu, kurā FM sniedz informāciju par šī regulējuma ietekmi uz uzņēmumu ieguldījumu ilgtspējīgā attīstībā, kas būtiska likuma subjektiem nākotnes ilgtspējas politikas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Likumprojekta regulējums valsts pārvaldei sniedz iespēju vienas sistēmas ietvaros izdarīt secinājumus un analīzi par subjektu sniegto ilgtspējas informāciju: informāciju par rādītājiem, to vienkopus publiskošanu, kā arī analīzi par dažāda mēroga subjektu sniegtajiem ilgtspējas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12.02.2024.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