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programmā noteiktajam, izņemot prakses, profesionālās kvalifikācijas eksāmena vai profesionālās pilnveides izglītības programmas noslēguma pārbaudījuma norisi, kas ir organizējama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8. februāra noteikumu Nr. 111 "Attālināto mācību organizēšanas un īstenošanas kārtība" (turpmāk - MK noteikumi Nr.111) grozījumu projekta 4.5.punktā noteikts, ka  profesionālās tālākizglītības programmu, tās daļu vai profesionālās pilnveides izglītības programmu var īstenot daļēji vai  pilnā apjomā attālināti atbilstoši izglītības programmā noteiktajam. Saskaņā ar Izglītības likuma 8.panta otrajā daļā noteikto  izglītības iestāde ir tiesīga īstenot izglītības programmu apguvi klātienes, neklātienes, kā arī tālmācības formā, vispārējās pamatizglītības un vispārējās vidējās izglītības programmas īsteno neklātienes un tālmācības formā, ievērojot Ministru kabineta noteiktos vispārējās izglītības programmas īstenošanas kritērijus un kārtību.  Licencējot izglītības programmu norādāma izglītības programmas apguves forma. Vai paredzot, ka visu tālākizglītības programmu vai profesionālās pilnveides izglītības programmu var īstenot pilnā apjomā attālināti neradīsies sabiedrībā un izglītības iestādēm atšķirīga izpratne ar tālmācības formu. Lūdzam anotāciju papildināt ar skaidrojumu par atšķirībām starp attālinātām mācībām un tālmācības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programmā noteiktajam, izņemot prakses, profesionālās kvalifikācijas eksāmena vai profesionālās pilnveides izglītības programmas noslēguma pārbaudījuma norisi, kas ir organizējama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Nr.111 4.4.punktā noteikts, ka augstākās izglītības pakāpē pilna un nepilna laika studijās attālinātās mācības var īstenot līdz 50 procentiem no attiecīgās studiju programmas īstenošanai noteiktā kontaktstundu skaita, </w:t>
            </w:r>
            <w:r w:rsidR="00000000" w:rsidRPr="00000000" w:rsidDel="00000000">
              <w:rPr>
                <w:u w:val="single"/>
                <w:rtl w:val="0"/>
              </w:rPr>
              <w:t xml:space="preserve">kas norādīts izglītības iestādes apstiprinātajā attiecīgās studiju programmas studiju plānā</w:t>
            </w:r>
            <w:r w:rsidR="00000000" w:rsidRPr="00000000" w:rsidDel="00000000">
              <w:rPr>
                <w:rtl w:val="0"/>
              </w:rPr>
              <w:t xml:space="preserve">. Projektā plānots  MK noteikumus Nr.111 papildināt ar 4.5.punktu nosakot, ka pamatizglītības pakāpē, vidējās izglītības pakāpē un augstākās izglītības pakāpē profesionālās tālākizglītības programmu, tās daļu vai profesionālās pilnveides izglītības programmu var īstenot daļēji vai  pilnā apjomā attālināti</w:t>
            </w:r>
            <w:r w:rsidR="00000000" w:rsidRPr="00000000" w:rsidDel="00000000">
              <w:rPr>
                <w:u w:val="single"/>
                <w:rtl w:val="0"/>
              </w:rPr>
              <w:t xml:space="preserve"> atbilstoši izglītības programmā noteiktajam</w:t>
            </w:r>
            <w:r w:rsidR="00000000" w:rsidRPr="00000000" w:rsidDel="00000000">
              <w:rPr>
                <w:rtl w:val="0"/>
              </w:rPr>
              <w:t xml:space="preserve">, izņemot prakses, profesionālās kvalifikācijas eksāmena vai profesionālās pilnveides izglītības programmas noslēguma pārbaudījuma norisi, kas ir organizējama klātienē. Ņemot vērā ka izglītības programma saskaņā ar Profesionālās izglītības likuma 25.pantā noteikto ietvaru ir plašs dokuments, lūdzam precizēt, atbilstoši MK noteikumus Nr.111 4.4. punkta konstrukcijai, papildinot Projekta normu ar izglītības programmas mācību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programmas mācību plānā noteiktajam, izņemot prakses, profesionālās kvalifikācijas eksāmena vai profesionālās pilnveides izglītības programmas noslēguma pārbaudījuma norisi, kas ir organizējama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07.02.2023.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07.02.2023.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Atzinumi_22-TA-1947.docx</dc:title>
</cp:coreProperties>
</file>

<file path=docProps/custom.xml><?xml version="1.0" encoding="utf-8"?>
<Properties xmlns="http://schemas.openxmlformats.org/officeDocument/2006/custom-properties" xmlns:vt="http://schemas.openxmlformats.org/officeDocument/2006/docPropsVTypes"/>
</file>