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civildienesta ierēdņu disciplināratbildības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Ja disciplinārlietu ierosina pret iestādes vadītāju, disciplinārlietu izskata disciplinārlietas izmeklēšanas komisija, ko izveidojis tas Ministru kabineta loceklis, kura padotībā ir iestāde. Komisijas sastāvā iekļauj Ministru kabineta locekļa norīkotu personu no pakļautībā esošās ministrijas, bet, ja disciplinārlietu izskata Ministru prezidenta izveidota disciplinārlietas izmeklēšanas komisija par tā padotībā esošās iestādes vadītāju, – no Valsts kancelejas.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"Grozījumi Valsts civildienesta ierēdņu disciplināratbildības likumā" (turpmāk – projekts) 2. pantā ietverto Valsts civildienesta ierēdņu disciplināratbildības likuma 24. panta 4.</w:t>
            </w:r>
            <w:r w:rsidR="00000000" w:rsidRPr="00000000" w:rsidDel="00000000">
              <w:rPr>
                <w:vertAlign w:val="superscript"/>
                <w:rtl w:val="0"/>
              </w:rPr>
              <w:t xml:space="preserve">3</w:t>
            </w:r>
            <w:r w:rsidR="00000000" w:rsidRPr="00000000" w:rsidDel="00000000">
              <w:rPr>
                <w:rtl w:val="0"/>
              </w:rPr>
              <w:t xml:space="preserve"> daļu, vārdus "augstākas iestādes" aizstājot ar vārdiem "ministrijas vai Valsts kancelejas". Vēršam uzmanību uz to, ka termins "augstāka iestāde" tiek lietots gadījumos, kad ir runa par augstāku iestādi attiecībā pret citu iestādi. Savukārt minētajā projekta normā visticamāk ir domāta hierarhiskās sistēmas augstākā iestāde, proti, ministrija un Valsts kanceleja, jo minētajā projekta normā nav norāde uz citu iestādi, par kuras augstāku iestādi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projekta 4.pantu tiek noteikts disciplinārlietā pieņemtā lēmuma publicēšanas termiņš, lūdzam precizēt anotāciju, norādot, ka projekts rada ietekmi uz personas datu aizsardzību. Paskaidrojam, ka projektā ietvertais regulējums ietekmē to, cik ilgi tiek veikta personas datu apstrāde (minētā lēmuma publicēšana, kas satur personas datus), proti, ar projektu likumdevējs nosaka, cik ilgi ierēdnim kā datu subjektam var tikt veikts personas tiesību uz personas datu aizsardzību ierobežojums. Ņemot vērā minēto, Tieslietu ministrijas ieskatā projekta tiesiskais regulējums rada ietekmi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25-TA-574</w:t>
    </w:r>
    <w:r>
      <w:br/>
    </w:r>
    <w:r w:rsidR="00000000" w:rsidRPr="00000000" w:rsidDel="00000000">
      <w:rPr>
        <w:rtl w:val="0"/>
      </w:rPr>
      <w:t xml:space="preserve">Izdrukāts 31.03.2025.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25-TA-574</w:t>
    </w:r>
    <w:r>
      <w:br/>
    </w:r>
    <w:r w:rsidR="00000000" w:rsidRPr="00000000" w:rsidDel="00000000">
      <w:rPr>
        <w:rtl w:val="0"/>
      </w:rPr>
      <w:t xml:space="preserve">Izdrukāts 31.03.2025.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Atzinumi_25-TA-574.docx</dc:title>
</cp:coreProperties>
</file>

<file path=docProps/custom.xml><?xml version="1.0" encoding="utf-8"?>
<Properties xmlns="http://schemas.openxmlformats.org/officeDocument/2006/custom-properties" xmlns:vt="http://schemas.openxmlformats.org/officeDocument/2006/docPropsVTypes"/>
</file>