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Ilgtspējas informācijas atklāšanas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12.02.2024.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12.02.2024.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