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speciālās regulatīvās vides izveidi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priekšlikumu un lūdz precizēt anotācijas 7. sadaļu. Anotācijā norādīts, ka projekts šo jomu neskar, savukārt 7.5. apakšsadaļā aprakstīti vairāku institūciju uzdevumi rīkojuma izpildē. Tādējādi anotācijā sniegtā informācija ir savstarpēji pretrunīga.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izteiktais priekšlikums ir izpildīts tikai daļēji, informāciju par projekta izpildē iesaistītajām institūcijām un to lomu iekļaujot 7.5. apakšsadaļā “Cita informācija”. Šī apakšsadaļa nav paredzēta, lai aizstātu informāciju, kas atbilstoši anotācijas struktūrai norādāma 7.1. un 7.4. apakšsadaļā. Lūdzam 7.5. apakšsadaļā ietverto informāciju pārvietot uz attiecīgajām 7.1. un 7.4. apakšsadaļām un tās aizpildīt atbilstoši tajās vērtējamajiem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14.7. un 15. punktam, kā arī anotācijas aizpildīšanas vadlīnijām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atbildē uz jautājumu “Vai projekts skar šo jomu?” norādīt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7.1. apakšsadaļā identificēt institūcijas, kurām ar rīkojumu paredzēti konkrēti uzdevumi tā izpildē, un raksturot šo institūciju pienākumu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7.4. apakšsadaļā norādīt, vai projekts paplašina vai sašaurina iesaistīto institūciju funkcijas vai uzdevumus un vai tas maina valsts pārvaldes institucionālo struktūru. Ja projektā paredzētās darbības tiks veiktas institūciju esošo funkciju un uzdevumu ietvaros un institucionālā struktūra netiks mainīta, tas nepārprotami norādāms šajā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nodalīt institūcijas, kurām rīkojumā noteikts konkrēts izpildes uzdevums, no institūcijām, kuras Ministru kabineta noteikumu projekta izstrādes laikā paredzēts tikai konsultatīvi iesaistīt atbilstoši to kompetencei. Institūcijas, kurām rīkojums nenosaka konkrētu uzdevumu, nav norādāmas kā projekta izpildē iesaistītās institūcijas tikai tādēļ, ka tās vēlāk piedalīsies Ministru kabineta noteikumu projekta saskaņošanā.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