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kooperatīvā sabiedrība ir tāda lauksaimniecības pakalpojumu kooperatīvā sabiedrība, kas darbojas lauksaimniecības nozarē un ieguvusi atbilstības statusu atbilstoši normatīvajiem aktiem par kooperatīvo sabiedrību atbilstības noteikumiem un nodrošinot atbilstību projekta īstenošanas un uzraudzības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projekta 3.5. apakšpunktā ietvertā termina skaidrojuma beigu daļu "un nodrošinot atbilstību projekta īstenošanas un uzraudzības laikā" svītrot un to izteikt kā atsevišķu punktu piemērotā vietā projekta pamattekstā, jo minētā frāze faktiski ir nosacījums, nevis termina skaidrojums, un attiecīgi drīzāk būtu ietverama projekta pamattekstā kā atsevišķa prasība, kas īstenojama projekta īstenošanas un uzraudzības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projekta 3. pielikumā svītrot frāzi "</w:t>
            </w:r>
            <w:r w:rsidR="00000000" w:rsidRPr="00000000" w:rsidDel="00000000">
              <w:rPr>
                <w:i w:val="1"/>
                <w:rtl w:val="0"/>
              </w:rPr>
              <w:t xml:space="preserve">Punktu skaits kritērijā tiks atkārtoti vērtēts un precizēts projekta īstenošanas gaitā</w:t>
            </w:r>
            <w:r w:rsidR="00000000" w:rsidRPr="00000000" w:rsidDel="00000000">
              <w:rPr>
                <w:rtl w:val="0"/>
              </w:rPr>
              <w:t xml:space="preserve">" (sk. izziņas 70. punktu), ņemot vērā uz atkārtoto saskaņošanu veiktās izmaiņas. Atkārtoti norādām, ka atlases kritēriji ir attiecināmi tieši uz projekta iesniegumu vērtēšanas posmu, kas ir nodalāms no projekta īstenošanas un uzraudzības posmiem. Ja nepieciešamas vēl kādas izmaiņas projektā, paredzot kādus 3. pielikumā paredzētos nosacījumus kā prasības, kas īstenojamas arī projekta īstenošanas un uzraudzības laikā, aicinām projektu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produkts šo noteikumu </w:t>
            </w:r>
            <w:r w:rsidR="00000000" w:rsidRPr="00000000" w:rsidDel="00000000">
              <w:rPr>
                <w:rtl w:val="0"/>
              </w:rPr>
              <w:t xml:space="preserve">1.5.</w:t>
            </w:r>
            <w:r w:rsidR="00000000" w:rsidRPr="00000000" w:rsidDel="00000000">
              <w:rPr>
                <w:rtl w:val="0"/>
              </w:rPr>
              <w:t xml:space="preserve"> apakšpunktā minētās intervences izpratnē ir prece, kas jau tiek eksportēta, vai jauns produkts, kam ir izpētē pamatots eksporta potenciāls;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tehniski precizēt projekta 3.13. apakšpunktu vai sniegt skaidrojumu par izmaiņām (proti, uz atkārtoto saskaņošanu apakšpunktā svītrots vārds "eksportspējīgs"). Norādām, ka termina "produkts" definēšana var būt mulsinoša, it īpaši tādēļ, ka termins, šķiet, tiek izmantots ne tikai definētajā nozīmē, kā arī tādēļ, ka projektā tiek izmantots termins "eksportspējīgs produkts" (sk. 48. punktu). Ja nepieciešams definēt noteiktu terminu tieši konkrētas intervences ietvaros, aicinām izvērtēt iespēju veidot termina skaidrojumu vai saīsinājumu projekta apakšnodaļā, kas regulē attiecīgo intervenci.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paredzot atsevišķu publisko finansējumu lauksaimnieku pakalpojumu kooperatīvajām sabiedrībām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apakšpunktos minēto intervenču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pārskatīt un precizēt projektu, konsekventi izmantojot definētos terminus (piemēram, "kooperatīvā sabiedrība", nevis "lauksaimniecības pakalpojumu kooperatīvā sabiedrība", "atbilstīgā kooperatīvā 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šo noteikumu </w:t>
            </w:r>
            <w:r w:rsidR="00000000" w:rsidRPr="00000000" w:rsidDel="00000000">
              <w:rPr>
                <w:rtl w:val="0"/>
              </w:rPr>
              <w:t xml:space="preserve">11.2.</w:t>
            </w:r>
            <w:r w:rsidR="00000000" w:rsidRPr="00000000" w:rsidDel="00000000">
              <w:rPr>
                <w:rtl w:val="0"/>
              </w:rPr>
              <w:t xml:space="preserve"> apakšpunktā minētajiem atbalsta saņēmējiem ir attiecināmas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projektu un svītrot projekta 18.6. apakšpunktu, ņemot vērā 19. punktā ietverto regulējumu. Līdzīgi lūdzam pārskatīt projektu un veikt citus nepieciešamos tehniskos labojumus projektā, lai nodrošinātu skaidras un precīzas normas, tostarp nodrošinot, ka starp punkta ievaddaļu un apakšpunktu veidojas loģisks teikums (sk., piemēram, projekta 25. punktu, kā arī 51.3.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jaunas lauksaimniecības dzīvnieku novietnes būvniecību vai esošas novietnes pārbūvi, veicot ieguldījumus tādu labturības prasību ieviešanai, kas pārsniedz vispārīgās un specifiskās lauksaimniecības dzīvnieku labturības prasības normatīvajos aktos par </w:t>
            </w:r>
            <w:r w:rsidR="00000000" w:rsidRPr="00000000" w:rsidDel="00000000">
              <w:rPr>
                <w:rtl w:val="0"/>
              </w:rPr>
              <w:t xml:space="preserve">lauksaimniecības dzīvnieku vispārīgās labturības prasībās</w:t>
            </w:r>
            <w:r w:rsidR="00000000" w:rsidRPr="00000000" w:rsidDel="00000000">
              <w:rPr>
                <w:rtl w:val="0"/>
              </w:rPr>
              <w:t xml:space="preserve"> noteiktajām;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projektu kopumā un precizēt tajā ietvertās atsauces uz normatīvajiem aktiem, veidojot pareizi formulētas atsauces un tādējādi arī skaidras un precīzas normas. Piemēram, lūdzam precizēt projekta 31.1. apakšpunktu (aicinām izvērtēt šādas v.tml. atsauces ietveršanu "[..] prasības, kas noteiktas normatīvajos aktos lauksaimniecības dzīvnieku labturības jomā"), 35. punktu (svītrojot frāzi "noteikumi par"), 72. punktā (svītrojot vārdu "par"), 81., 98., 113., 147. un 151.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Atbalstu nepiešķir, ja Lauku atbalsta dienests, pieņemot lēmumu par projekta iesnieguma apstiprināšanu, ir konstatējis kādu no grūtībās nonākuša uzņēmuma pazīmēm atbilstoši </w:t>
            </w:r>
            <w:r w:rsidR="00000000" w:rsidRPr="00000000" w:rsidDel="00000000">
              <w:rPr>
                <w:rtl w:val="0"/>
              </w:rPr>
              <w:t xml:space="preserve">regulas (ES) Nr. 651/2014</w:t>
            </w:r>
            <w:r w:rsidR="00000000" w:rsidRPr="00000000" w:rsidDel="00000000">
              <w:rPr>
                <w:rtl w:val="0"/>
              </w:rPr>
              <w:t xml:space="preserve"> 2. panta 18. punktam. Nosacījumu, lai saimnieciskās darbības veicējam pēc kreditora pieprasījuma piemērotu maksātnespējas procedūru, pārbauda, pamatojoties uz </w:t>
            </w:r>
            <w:r w:rsidR="00000000" w:rsidRPr="00000000" w:rsidDel="00000000">
              <w:rPr>
                <w:rtl w:val="0"/>
              </w:rPr>
              <w:t xml:space="preserve">regulas (ES) Nr. 651/2014</w:t>
            </w:r>
            <w:r w:rsidR="00000000" w:rsidRPr="00000000" w:rsidDel="00000000">
              <w:rPr>
                <w:rtl w:val="0"/>
              </w:rPr>
              <w:t xml:space="preserve"> 2. panta 18. punkta ''c'' apakšpunktā minēto.  Šo noteikumu </w:t>
            </w:r>
            <w:r w:rsidR="00000000" w:rsidRPr="00000000" w:rsidDel="00000000">
              <w:rPr>
                <w:rtl w:val="0"/>
              </w:rPr>
              <w:t xml:space="preserve">124.</w:t>
            </w:r>
            <w:r w:rsidR="00000000" w:rsidRPr="00000000" w:rsidDel="00000000">
              <w:rPr>
                <w:rtl w:val="0"/>
              </w:rPr>
              <w:t xml:space="preserve"> punktā minēto kopprojektu īstenošanas gadījumā, Lauku atbalsta dienests, pieņemot lēmumu par projekta iesnieguma apstiprināšanu, vērtē katra atbalsta pretendenta statusu pēc tā lieluma, kā arī pārbauda grūtībās nonākuša uzņēmuma pazīmes visiem kopprojekta dalībniekiem. Atbalstu nepiešķir, ja Lauku atbalsta dienests projekta iesnieguma apstiprināšanas brīdī vismaz vienam atbalsta pretendentam ir konstatējis kādu no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dažviet noteikumu projektā ietvertais regulējums (sk., piemēram, 69., 78. punktu) pēc būtības nedublē 117. punktu un attiecīgi arī Ministru kabineta 2023. gada 7. marta noteikumos Nr. 113 "Valsts un Eiropas Savienības atbalsta piešķiršanas, administrēšanas un uzraudzības vispārējā kārtība lauku un zivsaimniecības attīstībai" ietverto regulējumu. Ja nepieciešams, aicinām precizēt projektu vai sniegt skaidrojumu. Papildus aicinām izmantot ar iepriekš minētajiem noteikumiem saskanīgu terminoloģiju (piemēram, "grūtībās nonācis saimnieciskās darbības veicējs", nevis "grūtībās nonācis uzņēmums").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113.5. kopā ar projekta iesniegumu vai sešu mēnešu laikā pēc lēmuma pieņemšanas par projekta iesnieguma apstiprināšanu, ja projektā plānota jauna būvniecība, – zemesgrāmatā reģistrēta ilgtermiņa nomas līguma kopiju vai informāciju par zemesgrāmatā ierakstītām apbūves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un nepieciešamību projekta 113.5. apakšpunktā svītrot frāzi "ja projektā plānota jauna būvniecība", ņemot vērā, ka 113.5.1. un 113.5.2. apakšpunktā jau ir noteikti konkrēti gadījumi, uz kuriem prasība attiecas, turklāt jauna būvniecība ir tikai viens no gadījumiem. Alternatīvi lūdzam sniegt skaidrojumu par normas tvērumu un piemērošanu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113.13.4. kopsavilkumu par projektā sasniedzamo energoefektivitātes rādītāju novērtējumu atbilstoši Zemkopības ministrijas izstrādātajai un publiskotajai veidlapas formai, kurā norādīti projekta ietvaros īstenojamie pasākumi, sasniedzamo energoefektivitātes rādītāju vērtības un kuru sagatavojis sertificēts neatkarīgs eksperts ēku energoefektivitātes jomā  vai nacionālajā akreditācijas institūcijā akreditēts uzņēmumu energoauditors;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privātpersonām nav saistošas Zemkopības ministrijas izstrādātas un publicētas veidlapas. Privātpersonām saistoši ir ārējos normatīvajos aktos noteiktās prasības. Attiecīgi nav korekti ar atsauces palīdzību faktiski uzlikt par pienākumu privātpersonai obligāti izmantot minēto veidlapu. Attiecībā uz veidlapām norādām, ka korektāks risinājums būtu projektā noteikt tikai veidlapā iekļaujamās informācijas saturu un apjomu, un attiecīgi veidlapas dizainu un formu publicēt ministrijas tīmekļa vietnē kā ilustratīvu materiālu, kuru privātpersonas var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izvērtēt projektā ietverto regulējumu arī attiecībā uz norādēm uz citiem privātpersonām nesaistošiem dokumentiem, kā arī iekšējiem normatīvajiem aktiem (sk. arī 103.1. apakšpunktu, 135., 138. un 139. punktu), svītrojot šādas atsauces, vai sniedzot pamatotu skaidrojumu par šādu atsauču ietveršanas pieļaujamību, tostarp skaidrojot, kā attiecīgās projekta normas tiks piemērotas.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19.03.2024.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19.03.2024.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