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Eiropas Reģionālās attīstības fonda maksimālā finansējuma likme nepārsniedz 85 procentus no projekta kopējām attiecināmajām izmaksām. Valsts budžeta līdzfinansējums valsts iestādēm, valsts kapitālsabiedrībām un atvasinātām publiskām personām (augstskolām un zinātniskajiem institūtiem) ir 15 procenti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 punkta redakciju ar nosacījumu, kādos gadījumos ir pieļaujama valsts budžeta līdzfinansējuma nodrošināšana valsts kapitālsabiedrībām. Atzīmējam, ka anotācijas 1.3. apakšsadaļas “Pašreizējā situācija, problēmas un risinājumi” 8.lpp. ir ietverta informācija, ka valsts kapitālsabiedrībai valsts budžeta līdzfinansējums paredzams par valsts pārvaldes deleģēto uzdevumu izpildi – par valsts nekustamā īpašuma pārvaldību un valsts nekustamā īpašuma attīstības vadību vai deleģēto valsts pārvaldes uzdevumu kultūras jomā veikšanu atbilstoši līgumiem, kas noslēgti ar Kultūras ministriju par valsts pārvaldes uzdevumu deleģēšanu kultūras jomā un to finansēšanu. Attiecīgi šie nosacījumi ir iekļaujami noteikumu 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08.11.2024. 20.00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08.11.2024. 20.00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