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termina "publiskā sektora subjekts" skaidrojumu, izmantojot Valsts pārvaldes iekārtas likumā lietoto terminoloģiju, un, piemēram, vārdus "valsts, reģionālās vai vietējās iestādes" aizstāt ar vārdiem "tiešās vai pastarpinātās pārvaldes iestādes, atvasinātas publiskas personas, citas 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"subjektiem, ko minētās iestādes tieši finansē un pārvalda, bet kam nav komerciāls vai rūpniecisks raksturs" aicinām likumprojekta anotācijā izvērstāk skaidrot konkrētos subjektus, ja iespējams un attiecināms, atsaucoties uz Publiskas personas kapitāla daļu un kapitālsabiedrību pārvaldības likumā lietoto terminoloģiju (piem., nefinanšu mērķi, nekomerciāla publiskas personas kapitālsabiedrība), ņemot vērā, ka pretējā gadījumā varētu pieņemt, ka atbilstoši Komerclikumam jebkuras kapitālsabiedrības darbībai ir komerciāls (t.i., peļņas gūšanas)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vārdus "vai pārraudzībā" ("padotībā vai pārraudzībā"), ņemot vērā, ka termins "padotība" ietver dalījumu pakļautībā vai pārraudzībā, tādēļ atsevišķa alternatīva norāde uz pārraudzību līdztekus padotībai ir liekvārdība. Līdzīgi aicinām izslēgt vārdus "kurās enerģiju izmanto iekštelpu mikroklimata regulēšanai", ņemot vērā, ka ēkas, kurās enerģiju neizmanto iekštelpu mikroklimata regulēšanai, ir izslēgtas no likuma darbības jomas saskaņā ar likuma 3. panta otrās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ēkas prasībām, ja tiek atjaunots nomas vai lietošanas līgums, mainīts ēkas lietošanas veids vai ēkā plānoti būtiski remonta, atjaunošanas vai uzturēšanas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anotācijā skaidrot (nepieciešamības gadījumā - piemērveidā), kādi darbi uzskatāmi par </w:t>
            </w:r>
            <w:r w:rsidR="00000000" w:rsidRPr="00000000" w:rsidDel="00000000">
              <w:rPr>
                <w:u w:val="single"/>
                <w:rtl w:val="0"/>
              </w:rPr>
              <w:t xml:space="preserve">būtiskiem</w:t>
            </w:r>
            <w:r w:rsidR="00000000" w:rsidRPr="00000000" w:rsidDel="00000000">
              <w:rPr>
                <w:rtl w:val="0"/>
              </w:rPr>
              <w:t xml:space="preserve"> remonta, atjaunošanas vai uzturēšanas darbiem. Papildus vēršam uzmanību, ka korespondējošā direktīvas vienībā norādīts arī uz ēkas atjaunošanas veicināšanu līdz vismaz gandrīz nulles enerģijas ēkas prasībām </w:t>
            </w:r>
            <w:r w:rsidR="00000000" w:rsidRPr="00000000" w:rsidDel="00000000">
              <w:rPr>
                <w:u w:val="single"/>
                <w:rtl w:val="0"/>
              </w:rPr>
              <w:t xml:space="preserve">vai nulles enerģijas ēkas prasībām</w:t>
            </w:r>
            <w:r w:rsidR="00000000" w:rsidRPr="00000000" w:rsidDel="00000000">
              <w:rPr>
                <w:rtl w:val="0"/>
              </w:rPr>
              <w:t xml:space="preserve">, tādēļ aicinām izvērtēt un papildināt likumprojektu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Eiropas Parlamenta un Padomes 2024. gada 24. aprīļa direktīvas (ES) Nr. 2024/1275 par ēku energosniegumu (turpmāk - direktīva Nr. 2024/1275) 12. panta 6. punktā ietvertās rīcības brīvības izmantošanu. Norādām, lai gan anotācijā norādīts uz rīcības brīvības izmantošanu, anotācijas 5.4. apakšsadaļas 1. tabulā nav atrodama informācija par 12. panta 6. punktā ietvertā regulējuma pārņemšanu. Papildus aicinām papildināt minēto tabulu ar skaidrojumu, kā tieši ar likumprojekta 9. un 11. pantu [likuma 8. panta 6.</w:t>
            </w:r>
            <w:r w:rsidR="00000000" w:rsidRPr="00000000" w:rsidDel="00000000">
              <w:rPr>
                <w:vertAlign w:val="superscript"/>
                <w:rtl w:val="0"/>
              </w:rPr>
              <w:t xml:space="preserve">1</w:t>
            </w:r>
            <w:r w:rsidR="00000000" w:rsidRPr="00000000" w:rsidDel="00000000">
              <w:rPr>
                <w:rtl w:val="0"/>
              </w:rPr>
              <w:t xml:space="preserve"> daļa un 12. panta pirmā daļa] pārņemtas pilnībā minētās direktīvas 12. panta 2. punkta otrajā daļā un 4. punktā ietvertais regulējums, vai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atkārtoti lūdzam izvērtēt un skaidrot, vai direktīvas Nr. 2024/1275  7. panta 2. punkts pārņemts arī likuma 8. panta devītajā daļā (proti, tiks pārņemts pilnībā ar Ministru kabineta noteikumiem), kā arī - vai šīs direktīvas 3. pielikums tiks pilnībā pārņemts ar likuma 9. panta ceturto daļu, nevis 8. 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attiecībā uz direktīvas 2024/1275 11. panta 1. un 7. punkta pārņemšanu likumprojektā ietvertā likuma 1. panta 10. punktā vēršam uzmanību, ka informāciju anotācijā nepieciešams papildināt, jo šobrīd no likumprojekta anotācijas izriet, ka prasības tiek pilnībā pārņemtas, taču no izziņas izriet, ka noteiktas prasības tiks pārņemtas Ministru kabineta noteikumos. Vienlaikus vēršam, ka vismaz gramatiski faktiski pārņemts pilnībā ir vienīgi 11. panta 1. punkta pirmais teikums, savukārt pārējie direktīvas nosacījumi ir detalizēti un tiesiskās noteiktības nolūkā būtu precīzi pārņemami, ja ne ar likumprojektu, tad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