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neparedzētie izdevumi, kas nepārsniedz piecus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precizēt, vai neparedzēto izdevumu procentuālais ierobežojums ir aprēķināms no projekta </w:t>
            </w:r>
            <w:r w:rsidR="00000000" w:rsidRPr="00000000" w:rsidDel="00000000">
              <w:rPr>
                <w:b w:val="1"/>
                <w:rtl w:val="0"/>
              </w:rPr>
              <w:t xml:space="preserve">plānotajām</w:t>
            </w:r>
            <w:r w:rsidR="00000000" w:rsidRPr="00000000" w:rsidDel="00000000">
              <w:rPr>
                <w:rtl w:val="0"/>
              </w:rPr>
              <w:t xml:space="preserve"> kopējām tiešajām attiecināmajām izmaksām vai no projekta </w:t>
            </w:r>
            <w:r w:rsidR="00000000" w:rsidRPr="00000000" w:rsidDel="00000000">
              <w:rPr>
                <w:b w:val="1"/>
                <w:rtl w:val="0"/>
              </w:rPr>
              <w:t xml:space="preserve">plānotajām </w:t>
            </w:r>
            <w:r w:rsidR="00000000" w:rsidRPr="00000000" w:rsidDel="00000000">
              <w:rPr>
                <w:rtl w:val="0"/>
              </w:rPr>
              <w:t xml:space="preserve">kopējām attiecināmajām izmaksām kopumā, nodrošinot viennozīmīgu un savstarpēji saskaņotu regulējumu gan noteikumu projektā, gan anotācijas sadaļā “Atbalstāmās darbības un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ja tai ir pieejami valsts budžeta līdzekļi, izvērtējot plānotā avansa apmēru un tā pamatojumu un pamatojoties uz finansējuma saņēmēja rakstisku avansa pieprasījumu, var piešķirt finansējuma saņēmējam avansu pēc civiltiesiskā līguma par projekta īstenošanu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30 procentiem no projektam piešķirtā ERAF finansējuma un valsts budžeta līdzfinansējuma kopsummas, ievērojot, ka avansu var izmaksāt vairākos maksājumos, bet nākamo avansa maksājumu var saņemt pēc tam, kad iepriekšējais ieguldīts pilnā apmērā, un avansa un starpposma maksājumu kopsumma nepārsniedz 90 procentus no projektam piešķirtā ERAF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valsts budžeta līdzfinansējumu noteikumu projekta 19.punkta trešajā teikumā, ņemot vērā, ka pasākuma īstenošanai paredzēts Eiropas Reģionālās attīstības fonda finansējums un privātais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“Sociālekonomiskais pamatojums” nepieciešams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precizēt aprēķinā piemēroto reālo sociālo diskonta likmi uz 5,00 %, atbilstoši Finanšu ministrijas mājaslapā publicētajai informācijai (https://www.fm.gov.lv/lv/makroekonomiskie-pienemumi-un-prognozes?utm_source=https%3A%2F%2Fwww.google.com%2F), kā arī pie anotācijas pievienot precizēto aprēķinu failu;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norādīt projekta ietvaros plānoto investīciju lietderīgās kalpošanas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Pērkons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“Vai ir izvērtēts prasību un izmaksu samērīgums pret ieguvumiem?” lūdzam norādīt atbildi “Jā”, sniedzot īsu kopsavilkumu par izvērtējuma rezultātiem. Vienlaikus lūdzam norādīt, ka detalizēts skaidrojums un aprēķini ir ietverti anotācijas pielikumā “Sociālekonomiskais pamatojums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pasākumam “Atjaunīgo energoresursu enerģijas veicināšana – biometāns”".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Pērkons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kas paskaidro būtisko BIP izveides izmaksu pieaugumu, salīdzinot ar  BIP izmaksām Džūkstē. Izziņā ir teikts, ka priekšlikums ticis ņemts vērā un jāskata precizējumi anotācijas 1.3. apakšsadaļā, taču anotācijā šāda informācija nav atrodama.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informāciju anotācijā 3. sadaļā “Tiesību akta projekta ietekme uz valsts budžetu un pašvaldību budžetiem” apakšsadaļā  "Cita informācija" zemāk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Reģionālās attīstības fonda finansējuma daļu projekta īstenošanai Finanšu ministrija pieprasīs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5.1.apakšpunktu, svītrojot precizēto finansiālo ietekmi un 6.punktā precizēt privātā līdzfinansējuma sadalījumu pa gadiem, jo šobrīd norādītā finansējuma kopsumma nesakrīt ar noteikumu projekta 9.punktā paredzēto privātā līdzfinansējuma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3.2. sadaļā ir minēts, ka “biometāna cena ir augstāka par dabasgāzi” un ka “Latvijas sabiedrības ieguvums no dabasgāzes importa aizvietošanas ar biometānu ir 3–7,7 milj.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sniegt plašāku skaidrojumu, kāpēc dabasgāzes importa aizvietošana ar vietēji ražotu biometānu rada ieguvumu Latvijas sabiedrībai, kā arī izvērtēt iespējamos negatīvos efektus, piemēram, gāzes cenas pieaugumu Latvijas patērētājiem augstākas izmaksu komponentes dēļ, vai iespējamu eksporta apjoma samazinājumu biometāna patēriņa pieauguma rezultātā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pielikumā pārbaudīt 3.2. sadaļā sniegto informāciju par nodarbinātību un nodokļiem.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cik korekti ir minēt, ka "[ar algu saistīti nodokļi] parasti veido apmēram 40- 50 % vai pat vairāk no bruto algas.", ņemot vērā, ka "ar algu saistīti nodokļi" iekļauj DD VSAOI, bet bruto alga to neiekļauj. Lūdzam pārbaudīt arī minētas skaitliskās vērtības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pārbaudīt nodokļu aprēķinu 3. un 4. tabulās. Iespējams, ka par IIN bāzi ir ņemta bruto alga, nevis "bruto alga - DŅ VSAOI", kā arī tiek ignorēti iespējamie IIN atvieglojumi.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18.03.2026.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18.03.2026.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Atzinumi_25-TA-1670.docx</dc:title>
</cp:coreProperties>
</file>

<file path=docProps/custom.xml><?xml version="1.0" encoding="utf-8"?>
<Properties xmlns="http://schemas.openxmlformats.org/officeDocument/2006/custom-properties" xmlns:vt="http://schemas.openxmlformats.org/officeDocument/2006/docPropsVTypes"/>
</file>