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nosacījumiem par avansa un maksājuma pieprasījumiem, to apmēru un ierobežojumiem, ņemot vērā anotācijā minēto, ka atvasinātām publiskām personām finansējums tiks plānots arī kā avansi.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nosaukumu, ka Eiropas Savienības kohēzijas politikas programmas 2021. – 2027. gadam 4.1.1. specifiskā atbalsta mērķa "Nodrošināt vienlīdzīgu piekļuvi veselības aprūpei un stiprināt veselības sistēmu, tostarp primārās veselības aprūpes noturību" 4.1.1.4. pasākums "Veselības aprūpes pārvaldības sistēmas stiprināšana un digitalizācija, attīstot digitālos risinājumus" tiks īstenots divās kārtās. Attiecīgi lūdzam precizēt anotācijas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w:t>
            </w:r>
            <w:r w:rsidR="00000000" w:rsidRPr="00000000" w:rsidDel="00000000">
              <w:rPr>
                <w:u w:val="single"/>
                <w:rtl w:val="0"/>
              </w:rPr>
              <w:t xml:space="preserve">pirmās un otrās projektu iesniegumu atlases kārtas</w:t>
            </w:r>
            <w:r w:rsidR="00000000" w:rsidRPr="00000000" w:rsidDel="00000000">
              <w:rPr>
                <w:rtl w:val="0"/>
              </w:rPr>
              <w:t xml:space="preserve">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ar jaunu apakšpunktu "1.6. vienkāršoto izmaksu piemērošanas nosacījumus un kārtību", ņemot vērā, ka noteikumu projekts paredz vienkāršoto izmaksu nosacījumus, un noteikumu projekts tiek izdots, pamatojoties arī uz Eiropas Savienības fondu 2021.—2027. gada plānošanas perioda vadības likuma 19.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projektu iesniedzēji, kas pēc sadarbības iestādes lēmuma par projekta iesnieguma apstiprināšanu kļūst par finansējuma saņēmējiem, un tiem pieejamais maksimālais attiecināmo izmaksu apmērs, lai slēgtu vienošanos par projekta īstenošanu,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18.panta pirmās daļas 1.punkts paredz, ja finansējuma saņēmējs ir fiziskā vai juridiskā persona, tam ir pienākums nodrošināt projekta īstenošanu saskaņā ar Eiropas Savienības un Latvijas Republikas normatīvajiem aktiem un </w:t>
            </w:r>
            <w:r w:rsidR="00000000" w:rsidRPr="00000000" w:rsidDel="00000000">
              <w:rPr>
                <w:u w:val="single"/>
                <w:rtl w:val="0"/>
              </w:rPr>
              <w:t xml:space="preserve">līgumu par projekta īstenošanu.</w:t>
            </w:r>
            <w:r w:rsidR="00000000" w:rsidRPr="00000000" w:rsidDel="00000000">
              <w:rPr>
                <w:rtl w:val="0"/>
              </w:rPr>
              <w:t xml:space="preserve"> Ņemot vērā atsevišķa projekta iesniedzēja juridisko statusu (t.i., kapitālsabiedrība), lūdzam papildināt noteikumu projekta 13.punktu pēc vārdiem "lai slēgtu" ar vārdiem "līgumu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projekta iesniedzējs par sadarbības partneri var piesaistīt citu tiešās pārvaldes iestādi, valsts kapitālsabiedrību vai atvasinātu publisku personu, kas veic deleģēto pārvaldes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normai ir jābūt skaidrai un nepārprotamai, lūdzam  precizēt noteikumu projekta 16.punktu, kā piemēram minētajā punktā ietvert atsauci uz noteikumu projekta 13.punktā noteiktajiem projekta iesniedzējiem, kas projekta ietvaros nebūs sadarbību partneri, pretējā gadījumā rodas interpretācijas problēmas ar tiesību normā ietvertā vārda "citu"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sadarbības iestāde to ir uzaicinājusi iesniegt projekta iesniegumu atbilstoši projektu iesniegumu atlases nolikuma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Nr.108 "Normatīvo aktu projektu sagatavošanas noteikumi" 3.punkts paredz,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noteikumu projekta 18.1. apakšpunkta lietderību, jo minētais punkts dublē Ministru kabineta 2023.gada 13. jūlija noteikumi Nr.408 “Kārtība, kādā Eiropas Savienības fondu vadībā iesaistītās institūcijas nodrošina šo fondu ieviešanu 2021.–2027. gada plānošanas periodā” 15.2. apakšpunktā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atbalstāt svītrot noteikumu projekta 18.1.apakšpunktu, lūdzam attiecīgi precizēt arī noteikumu projekta 19.3. apakšpunktu, neveidojot atsauci uz noteikumu projekta 18.1.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iesniegumu atlase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minētajiem projekta iesniedzējiem tiek organizēta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informācijas apriti un ātrāku projektu iesniegumu virzību, nezaudējot divas nedēļas informācijas pārsūtīšanā, aicinām paredzēt, ka Viedās administrācijas un reģionālās attīstības ministrija atzinumu uzreiz adresē arī atbildīgajai iestādei un sadarbības iestādei. Balstoties uz saņemto atzinumu, sadarbības iestādei uzaicina projekta iesniedzēju iesniegt projekta iesniegumu.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pakalpojumu digitālās infrastruktūras pilnveidošana, pielāgojot to pārrobežu pakalpojumu sniegšanai atbilstoši vienotās digitālās vārtejas prasībām, kā arī digitālo pakalpojumu pieejamības uzlabojumi;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22.6. apakšpunktu ar atsauci, kur noteiktas vienotās digitālās vārtejas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projektos izstrādāto valsts informācijas un komunikācijas tehnoloģiju risinājumu un pakalpojumu tālākai uzturēšanai finansējumu plānots segt iestādes budžeta ietvaros vai piešķirtās valsts dotācijas deleģēto pārvaldes funkciju īstenošanai, lai novērstu dubultfinansējuma risku, lūdzam izvērtēt iespēju precizēt noteikumu projekta 24.5.2. un 24.7.3.apakšpunktu redakciju, aizstājot vārdus "kas nepārsniedz piecus gadus" ar vārdiem "kas nepārsniedz projekta īstenošanas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24.3.apakšpunkts paredz projekta ietvaros izstrādātās vai pilnveidojamās informācijas sistēmas audita, drošības pārbaužu izmaksas. Lai netiktu dublētas izmaksas, aicinām pārskatīt 24.3.apakšpunkta redakciju, ņemot vēra, ka informācijas sistēmas izstrādes vai iegādes un ieviešanas kvalitātes kontroles izmaksas, tai skaitā testēšanas izmaksas un drošības un veiktspējas auditu izmaksas iekļautas noteikumu 24.5.7.apakšpunktā.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iesnieguma veidlapas aizpildīšanas izmaksas noteikumos nav paredzētas kā attiecināmās izmaksas projektā un ņemot vērā ES fondu 2014.-2020.gada plānošanas perioda IKT projektu pieredzi, nepārprotamai izpratnei lūdzam izteikt 24.2.apakšpunktu šādā redakcijā: “24.2.projekta pamatojošās dokumentācijas sagatavošanas izmaksas, tai skaitā izmaksu un ieguvumu analīzes sagatavošanas izmaksas (izņemot projekta iesnieguma veidlapas aizpildīšanas izmaksas);”. Ņemot vērā minēto priekšlikumu, lūdzam attiecīgi precizēt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datu importa vai migrācijas veikšanas izmaksas (tai skaitā datu semantiskās un tehniskās savietojamības nodrošināšanas izmaksas, datu strukturēšanas un datu bagātināšanas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24.5.3.apakšpunkts ietver, t.sk. datu strukturēšanas un bagātināšanas izmaksas, vienlaikus noteikumu projekta 24.5.5.apakšpunkts ietver izmaksas datu kvalitātes uzlabojumiem – lūdzam izvērtēt, vai šīs izmaksu pozīcijas saturiski nedublējas, un novērst dublēšanos vai anotācijā skaidrot atšķirību, lai to vēlāk iespējams korekti piemērot projektu iesniegumu atlases nolikumā un iesniegumos.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vadības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vadības personāla izmaksas 4.1.1.4. pasākuma 2. kārtā ir plānots attiecināt kā faktiskās izmaksas, aicinām papildināt redakciju atbilstoši attiecināmības vadlīnijām "Vadlīnijas attiecināmo izmaksu noteikšanai Eiropas Savienības kohēzijas politikas programmas 2021.-2027. gada plānošanas periodā" 7.29. apakšpunktam, kas paredz, ka ERAF, KF, TPF līdzfinansētajiem projektiem, kur tiešās attiecināmās izmaksas ir līdz 5 miljoniem EUR (ieskaitot), projekta vadības personāla izmaksu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izmaksas ir attiecināmas, ja tās atbilst šajos noteikumos minētajām izmaksu pozīcijām un ir radušās ne agrāk par 2023. gada 15. augustu. Projekta iesniegumā neiekļauj un finansējumu nepiešķir darbībām, kas pabeigtas pirms projekta iesnieguma iesniegšanas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29.punkta nosacījums izriet no Regulas 2021/1060, vēršam uzmanību, ka saskaņā ar Eiropas Komisijas skaidrojumiem regulā norādītais "pabeigta darbība" interpretējams kā pabeigts projekts kopumā nevis atsevišķa darbība tā ietvaros. Attiecīgi projektu savlaicīgas virzības un N+3 mērķu izpildes nolūkos aicinām precizēt punkta redakciju, nosakot, ka </w:t>
            </w:r>
            <w:r w:rsidR="00000000" w:rsidRPr="00000000" w:rsidDel="00000000">
              <w:rPr>
                <w:u w:val="single"/>
                <w:rtl w:val="0"/>
              </w:rPr>
              <w:t xml:space="preserve">projekts</w:t>
            </w:r>
            <w:r w:rsidR="00000000" w:rsidRPr="00000000" w:rsidDel="00000000">
              <w:rPr>
                <w:rtl w:val="0"/>
              </w:rPr>
              <w:t xml:space="preserve"> nevar būt pabeigts.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interpretējama tādējādi, ka neviena darbība nedrīkst būt pabeigta, kas papildus rada pretrunu ar atsevišķu attiecināmo izmaksu saturu, piemēram, projekta pamatojošās dokumentācijas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 digitālo pakalpojumu vai informācijas sistēmu vai to funkcionalitāšu skaitu, kur ir veikta informācijas pielāgošana specifisko lietotāju grupām (personām ar redzes, dzirdes un garīga rakstura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rādītāja redakciju ar aktuālajās Labklājības ministrijas vadlīnijās norādīto: "Digitālo pakalpojumu </w:t>
            </w:r>
            <w:r w:rsidR="00000000" w:rsidRPr="00000000" w:rsidDel="00000000">
              <w:rPr>
                <w:u w:val="single"/>
                <w:rtl w:val="0"/>
              </w:rPr>
              <w:t xml:space="preserve">vai programmu</w:t>
            </w:r>
            <w:r w:rsidR="00000000" w:rsidRPr="00000000" w:rsidDel="00000000">
              <w:rPr>
                <w:rtl w:val="0"/>
              </w:rPr>
              <w:t xml:space="preserve"> skaits, kur ir veikta informācijas pielāgošana specifisko lietotāju grupām (personām ar redzes, dzirdes un garīga rakstura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vai programmu skaits, kur ir veikta informācijas pielāgošana specifisko lietotāju grupām (personām ar redzes, dzirdes un garīga rakstura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nodrošina dubultā finansējuma neiestāšanos un nodrošina, ka projektā plānotie darbi netiek finansēti vai līdzfinansēti, kā arī tos nav plānots finansēt vai līdzfinansēt no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31.5. apakšpunktu vai  noteikumu projekta 31.punktu ar jaunu apakšpunktu paredzot, ka finansējuma saņēmējs uzņemas arī segt sadārdzinājumu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minētie finansējuma saņēmēji un to sadarbības partneri (ja attiecināms) nodrošina projekta rezultātu ilgtspēju, tai skaitā projekta ietvaros izveidoto un ieviesto informācijas un komunikācijas tehnoloģiju risinājumu darbību vismaz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normai ir jābūt skaidrai un nepārprotamai.</w:t>
            </w:r>
            <w:r w:rsidR="00000000" w:rsidRPr="00000000" w:rsidDel="00000000">
              <w:rPr>
                <w:rtl w:val="0"/>
              </w:rPr>
              <w:t xml:space="preserve"> Lūdzam izvērtēt iespēju precizēt noteikumu projekta 32.punktu svītrojot atsauci uz noteikumu 13.1. apakšpunktu  vai skaidrot par projekta rezultāta ilgtspējas nodrošināšanu attiecībā uz noteikumu projekta 13.2.apakšpunktā noteikto projekta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Informācijas sistēmas izstrādātājs saņem no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minēto finansējuma saņēmēju noslēguma maksājumu, kas nevar būt mazāks par 20 procentiem no informācijas sistēmas vai tās izmaiņu izstrādes līgumcenas, tikai pēc tam, kad ir parakstīts nodošanas un pieņemšanas akts par informācijas un komunikācijas tehnoloģiju risinājuma vai tā izmaiņu izstrādi un ieviešanu un finansējuma saņēmējs ir pārliecinājies, ka izstrādātā informācijas sistēma, platforma vai elektroniskais pakalpojums atbilst iepirkuma līgumā ietvertajiem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izstrādātājam izmaksājamais noslēguma maksājums potenciāli aprēķināms ne tikai no i</w:t>
            </w:r>
            <w:r w:rsidR="00000000" w:rsidRPr="00000000" w:rsidDel="00000000">
              <w:rPr>
                <w:u w:val="single"/>
                <w:rtl w:val="0"/>
              </w:rPr>
              <w:t xml:space="preserve">nformācijas sistēmas vai tās izmaiņu</w:t>
            </w:r>
            <w:r w:rsidR="00000000" w:rsidRPr="00000000" w:rsidDel="00000000">
              <w:rPr>
                <w:rtl w:val="0"/>
              </w:rPr>
              <w:t xml:space="preserve"> izstrādes līgumcenas, bet atbilstoši attiecināmo izmaksu, 34.punkta saturam attiecībā uz nodošanas un pieņemšanas aktu un 35.punkta saturam - informācijas sistēmas, </w:t>
            </w:r>
            <w:r w:rsidR="00000000" w:rsidRPr="00000000" w:rsidDel="00000000">
              <w:rPr>
                <w:u w:val="single"/>
                <w:rtl w:val="0"/>
              </w:rPr>
              <w:t xml:space="preserve">platformas vai elektroniskā pakalpojuma</w:t>
            </w:r>
            <w:r w:rsidR="00000000" w:rsidRPr="00000000" w:rsidDel="00000000">
              <w:rPr>
                <w:rtl w:val="0"/>
              </w:rPr>
              <w:t xml:space="preserve"> izstrādes līgumcenas.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izstrādātājs saņem no šo noteikumu 13.1. apakšpunktā minētā finansējuma saņēmēja noslēguma maksājumu, kas nevar būt mazāks par 20 procentiem no informācijas sistēmas vai tās izmaiņu, platformas vai elektroniskā pakalpojuma izstrādes līgumcenas, tikai pēc tam, kad ir parakstīts nodošanas un pieņemšanas akts par informācijas un komunikācijas tehnoloģiju risinājuma vai tā izmaiņu izstrādi un ieviešanu un finansējuma saņēmējs ir pārliecinājies, ka izstrādātā informācijas sistēma, platforma vai elektroniskais pakalpojums atbilst iepirkuma līgumā ietvertajiem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visus 4.1.1.4. pasākuma "Veselības aprūpes pārvaldības sistēmas stiprināšana un digitalizācija, attīstot digitālos risinājumus" intervences kodus, atbilstoši Eiropas Savienības kohēzijas politikas programmas 2021. – 2027. gadam papildinājumam.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pasākuma ietvaros tiek īstenots projekts, kas nav saistīts ar saimnieciskās darbības veikšanu, lai izvērtētu, vai pasākumā plānoto darbību īstenošana nekvalificējas kā komercdarbības atbalsts veselības nozarē strādājošiem veselibas pakalpojumu sniedzējiem, tai skaitā ģimenes ārstiem, lūdzam papildināt anotāciju ar informāciju, kādas ir Veselības ministrijas padotības iestāžu pārziņā esošās valsts informācijas sistēmas un datu bāzes jeb reģistri (norādot konkrētas sistēmas un reģistrus), kurus plānots attīstīt, un vai plānotā sistēmu un reģistru attīstīšana izriet no konkrēto projektā iesaistīto Veselības ministrijas padotības iestāžu funkcijām, tai skaitā, kurā dokumentā ir nolasāms deleģējums katrai no konkrētajām padotības iestādēm izveidot vai uzturēt konkrētas sistēmas vai datu bāzes (norādot konkrētu punktu). Vienlaikus lūdzam anotācijā arī skaidrot, vai un no kāda tiesību akta izriet nosacījums, ka pasākuma ietvaros plānoto darbību rezultātā izveidojamie vai pilnveidojamie informācijas un komunikācijas tehnoloģiju risinājumi būs obligāti jāizmanto ikvienam veselības pakalpojumu sniedzējam, tādējādi apstiprinot izpratni, ka tas ir regulatīvs nozares risinājums, nevis saistīts ar atsevišķu saimnieciskās darbības veicējiem nepieciešamās informācijas un komunikācijas tehnoloģiju attīstību, kas tiem dotu selektīvu ekonomisku priekšrocību un tādējādi būtu attīstāms, piemērojot atbilstošu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anotācijas 2.1. sadaļas apakšsadaļu "Juridiskās personas" ar norādi uz Veselības ministriju kā atbildīgo iestādi un precizēt šajā apakšsadaļā un visā anotācijas saturā norādītos projekta iesniedzējus atbilstoši noteikumu projekta 13.punktam, ņemot vērā, ka paredzēts, ka projekta iesniegumu iesniegs arī kapitālsabiedrība, savukārt atbilstošajā apakšsadaļā "Ietekmes apraksts" norādot, ka Veselības ministrija pildīs atbildīgās iestādes funkcijas, savukārt, attiecīgie plānotie projekta iesniedzējs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punktā “Cita informācija” norādīto informāciju pārcelt uz anotācijas 3.sadaļas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08.10.2024.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08.10.2024.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