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Dzeramā ūdens obligātās nekaitīguma un kvalitātes prasības, monitoringa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Pārtikas aprites uzraudzības likuma </w:t>
            </w:r>
            <w:r w:rsidR="00000000" w:rsidRPr="00000000" w:rsidDel="00000000">
              <w:rPr>
                <w:rtl w:val="0"/>
              </w:rPr>
              <w:t xml:space="preserve">4.panta</w:t>
            </w:r>
            <w:r w:rsidR="00000000" w:rsidRPr="00000000" w:rsidDel="00000000">
              <w:rPr>
                <w:rtl w:val="0"/>
              </w:rPr>
              <w:t xml:space="preserve"> otro daļu un </w:t>
            </w:r>
            <w:r w:rsidR="00000000" w:rsidRPr="00000000" w:rsidDel="00000000">
              <w:rPr>
                <w:rtl w:val="0"/>
              </w:rPr>
              <w:t xml:space="preserve">19.panta</w:t>
            </w:r>
            <w:r w:rsidR="00000000" w:rsidRPr="00000000" w:rsidDel="00000000">
              <w:rPr>
                <w:rtl w:val="0"/>
              </w:rPr>
              <w:t xml:space="preserve"> piekto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deleģējumu Ministru kabinetam atsevišķām pārtikas produktu grupām noteikt kvalitātes un klasifikācijas prasības un kārtību, kādā novērtējama attiecīgo produktu atbilstība šīm prasībām, paredz Pārtikas aprites uzraudzības likuma 4.panta ceturtā daļa. Attiecīgi lūdzam  atbilstoši papildināt norādi par noteikumu projekta izdošanas tiesisko pamatu un - nepieciešamības gadījumā - precizēt noteikumu projektā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jūras kuģiem, kas atsāļo ūdeni, pārvadā pasažierus un pilda ūdens piegādātāja funkciju, neattiecas šo noteikumu </w:t>
            </w:r>
            <w:r w:rsidR="00000000" w:rsidRPr="00000000" w:rsidDel="00000000">
              <w:rPr>
                <w:rtl w:val="0"/>
              </w:rPr>
              <w:t xml:space="preserve">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 </w:t>
            </w:r>
            <w:r w:rsidR="00000000" w:rsidRPr="00000000" w:rsidDel="00000000">
              <w:rPr>
                <w:rtl w:val="0"/>
              </w:rPr>
              <w:t xml:space="preserve">punkts</w:t>
            </w:r>
            <w:r w:rsidR="00000000" w:rsidRPr="00000000" w:rsidDel="00000000">
              <w:rPr>
                <w:rtl w:val="0"/>
              </w:rPr>
              <w:t xml:space="preserve">, </w:t>
            </w:r>
            <w:r w:rsidR="00000000" w:rsidRPr="00000000" w:rsidDel="00000000">
              <w:rPr>
                <w:rtl w:val="0"/>
              </w:rPr>
              <w:t xml:space="preserve">4.2.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apakšnodaļa</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8. nodaļa</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5. punktā svītrot vai precizēt atsauci uz šo noteikumu 4.4. apakšnodaļu (nepieciešamības gadījumā konkretizējot, kuras 4.4. apakšnodaļas prasības nav attiecināmas) un svītrot vai precizēt atsauci uz šo noteikumu 4.3. apakšnodaļu (nepieciešamības gadījumā konkretizējot, kuras 4.3. apakšnodaļas prasības nav attiecināmas), vai sniegt atbilstošu skaidrojumu par Eiropas Parlamenta un Padomes 2020. gada 16. decembra Direktīvas (ES) 2020/2184 par dzeramā ūdens kvalitāti (turpmāk - direktīva Nr. 2020/2184) prasību pārņemšanu noteikumu projekta 5. punktā. Vēršam uzmanību, ka no minētās direktīvas 3. panta 2. punkta izriet, ka uz jūras kuģiem, kas atsāļo ūdeni, pārvadā pasažierus un pilda ūdens piegādātāju funkciju, attiecas tikai šīs direktīvas 1. līdz 6. pants un 9., 10., 13. un 14. pants, un tās attiecīgie pielikumi. Savukārt no noteikumu projekta anotācijas izriet, ka minētās direktīvas 10. pants pārņemts noteikumu projekta 65., 66., 67. un 68. punktā  (4.4. apakšnodaļā) un 39.3. apakšpunktā, bet minētās direktīvas 9. pants - noteikumu projekta 54., 57., 58. un 59. punktā (4.3. apakšnodaļā).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 ūdens piegādātājiem, kas piegādā dzeramo ūdeni sabiedrisko ēku ūdensapgādei  vai komerciālas darbības ietvaros sniedz sabiedrisko ūdenssaimniecības pakalpojumu atbilstoši </w:t>
            </w:r>
            <w:r w:rsidR="00000000" w:rsidRPr="00000000" w:rsidDel="00000000">
              <w:rPr>
                <w:rtl w:val="0"/>
              </w:rPr>
              <w:t xml:space="preserve">Ūdenssaimniecības pakalpojumu likumam</w:t>
            </w:r>
            <w:r w:rsidR="00000000" w:rsidRPr="00000000" w:rsidDel="00000000">
              <w:rPr>
                <w:rtl w:val="0"/>
              </w:rPr>
              <w:t xml:space="preserve">, un piegādā dzeramo ūdeni vidēji mazāk par 10 m</w:t>
            </w:r>
            <w:r w:rsidR="00000000" w:rsidRPr="00000000" w:rsidDel="00000000">
              <w:rPr>
                <w:vertAlign w:val="superscript"/>
                <w:rtl w:val="0"/>
              </w:rPr>
              <w:t xml:space="preserve">3</w:t>
            </w:r>
            <w:r w:rsidR="00000000" w:rsidRPr="00000000" w:rsidDel="00000000">
              <w:rPr>
                <w:rtl w:val="0"/>
              </w:rPr>
              <w:t xml:space="preserve"> ūdens diennaktī vai piegādā dzeramo ūdeni mazāk par 50 personām, neattiecas šo noteikumu </w:t>
            </w:r>
            <w:r w:rsidR="00000000" w:rsidRPr="00000000" w:rsidDel="00000000">
              <w:rPr>
                <w:rtl w:val="0"/>
              </w:rPr>
              <w:t xml:space="preserve">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57. </w:t>
            </w:r>
            <w:r w:rsidR="00000000" w:rsidRPr="00000000" w:rsidDel="00000000">
              <w:rPr>
                <w:rtl w:val="0"/>
              </w:rPr>
              <w:t xml:space="preserve">punkts</w:t>
            </w:r>
            <w:r w:rsidR="00000000" w:rsidRPr="00000000" w:rsidDel="00000000">
              <w:rPr>
                <w:rtl w:val="0"/>
              </w:rPr>
              <w:t xml:space="preserve">, </w:t>
            </w:r>
            <w:r w:rsidR="00000000" w:rsidRPr="00000000" w:rsidDel="00000000">
              <w:rPr>
                <w:rtl w:val="0"/>
              </w:rPr>
              <w:t xml:space="preserve">4.2.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apakšnodaļa</w:t>
            </w:r>
            <w:r w:rsidR="00000000" w:rsidRPr="00000000" w:rsidDel="00000000">
              <w:rPr>
                <w:rtl w:val="0"/>
              </w:rPr>
              <w:t xml:space="preserve">, </w:t>
            </w:r>
            <w:r w:rsidR="00000000" w:rsidRPr="00000000" w:rsidDel="00000000">
              <w:rPr>
                <w:rtl w:val="0"/>
              </w:rPr>
              <w:t xml:space="preserve">8. </w:t>
            </w:r>
            <w:r w:rsidR="00000000" w:rsidRPr="00000000" w:rsidDel="00000000">
              <w:rPr>
                <w:rtl w:val="0"/>
              </w:rPr>
              <w:t xml:space="preserve">nodaļa</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6. punktā minētās iekšējās atsauces un nepieciešamības gadījumā tās precizēt. Norādām, ka no direktīvas Nr. 2020/2184 3. panta 6. punkta izriet, ka uz ūdens piegādātājiem, kas komerciālas vai sabiedriskas darbības ietvaros piegādā vidēji mazāk par 10 m</w:t>
            </w:r>
            <w:r w:rsidR="00000000" w:rsidRPr="00000000" w:rsidDel="00000000">
              <w:rPr>
                <w:vertAlign w:val="superscript"/>
                <w:rtl w:val="0"/>
              </w:rPr>
              <w:t xml:space="preserve">3</w:t>
            </w:r>
            <w:r w:rsidR="00000000" w:rsidRPr="00000000" w:rsidDel="00000000">
              <w:rPr>
                <w:rtl w:val="0"/>
              </w:rPr>
              <w:t xml:space="preserve"> dienā vai apkalpo mazāk par 50 personām, attiecas tikai šīs direktīvas 1. līdz 6. pants un 13., 14. un 15. pants, un tās attiecīgie pielikumi. Savukārt no noteikumu projekta anotācijas neizriet, ka, piemēram, ar noteikumu projekta 55. punktu būtu pārņemta kāda no minētajām direktīvas normām. Ņemot vērā, ka izņēmumi ir interpretējami šauri, nepieciešams pārskatīt noteikumu projekta 6. punktu un nodrošināt precīzu un direktīvas Nr. 2020/2184 3. panta 6. punkta prasībām atbilstošu izņēmumu formulēšanu.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Inspekcija izvērtē dzeramā ūdens neatbilstību šo noteikumu prasībām un tās iespējamos draudus cilvēku veselībai, un nepieciešamības gadījumā  aizliedz dzeramā ūdens izmantošanu, kas rada iespējamu apdraudējumu cilvēku veselībai, vai šāda ūdens izmantošana tiek stingri ierobežota un tiek veikti jebkādi citi korektīvi pasākumi, kas nepieciešami cilvēku veselības aizsardzībai. Ja Inspekcija aizliedz dzeramā ūdens izmantošanu, pašvaldība nodrošina alternatīvu dzeramā ūdens piegādi. Nosakot aizliegumu vai ierobežojumu dzeramā ūdens izmantošanai, ņem vērā risku cilvēku veselībai, ko radītu dzeramā ūdens izmantošanas pārtraukums vai ierobežojums.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18. punktu papildināt ar atsauci uz Pārtikas aprites uzraudzības likuma 19. panta piektajā daļā noteikto Veselības inspekcijas kompetenci, tādējādi izvairoties no minētajā likumā ietverto prasību dublēšanas.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Ūdens piegādātājs, ievērojot piesardzības principu, nodrošina un garantē ūdens sagatavošanā un apstrādē izmantoto ķīmisko maisījumu un filtrēšanas līdzekļu efektīvu pārvaldību un to tīrību, tajā skaitā izmantojot attiecīgos Eiropas standartus konkrētiem apstrādes ķīmiskajiem maisījumiem un filtrēšanas līdzekļiem, kā arī  nodrošina kontroles institūcijām piekļuvi dokumentiem, kas apliecina dzeramā ūdens apstrādē izmantoto ķīmisko maisījumu un filtrēšanas līdzekļu lietošanas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22.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paredzēt, ka nodrošināma ir ķīmisko maisījumu un filtrēšanas līdzekļu efektīva, droša un pienācīga pārvaldība, kā arī tīrība, ņemot vērā direktīvas Nr. 2020/2184 preambulas 27. apsvērumā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vai tā anotācijā skaidrot, kādā veidā ūdens piegādātājam </w:t>
            </w:r>
            <w:r w:rsidR="00000000" w:rsidRPr="00000000" w:rsidDel="00000000">
              <w:rPr>
                <w:u w:val="single"/>
                <w:rtl w:val="0"/>
              </w:rPr>
              <w:t xml:space="preserve">jāgarantē</w:t>
            </w:r>
            <w:r w:rsidR="00000000" w:rsidRPr="00000000" w:rsidDel="00000000">
              <w:rPr>
                <w:rtl w:val="0"/>
              </w:rPr>
              <w:t xml:space="preserve"> minētā pārvaldība un tīrība, nepieciešamības gadījumā svītrojot vārdu "garantē". Norādām, ka pienākums garantēt noteiktu rezultātu sasniegšanu direktīvā Nr. 2020/2184 ir attiecināts uz dalībvalstīm, nevis ūdens piegādātājiem, tādēļ nepieciešams attiecīgās prasības pienācīgi pārņemt noteikumu projektā (tai skaitā skaidrojot, kādā kārtībā ūdens piegādātājam jāveic garantēšana).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Tirgū drīkst laist tikai tādus materiālus, kas paredzēti saskarei ar dzeramo ūdeni, kas apstiprināti saskaņā ar Eiropas Komisijas noteiktajām minimālajām higiēnas prasībām, un kuri, ieskaitot tajos izmantotos gala materiālus, atbilst šo noteikumu </w:t>
            </w:r>
            <w:r w:rsidR="00000000" w:rsidRPr="00000000" w:rsidDel="00000000">
              <w:rPr>
                <w:rtl w:val="0"/>
              </w:rPr>
              <w:t xml:space="preserve">23.1., </w:t>
            </w:r>
            <w:r w:rsidR="00000000" w:rsidRPr="00000000" w:rsidDel="00000000">
              <w:rPr>
                <w:rtl w:val="0"/>
              </w:rPr>
              <w:t xml:space="preserve"> 23.2., 23.3. </w:t>
            </w:r>
            <w:r w:rsidR="00000000" w:rsidRPr="00000000" w:rsidDel="00000000">
              <w:rPr>
                <w:rtl w:val="0"/>
              </w:rPr>
              <w:t xml:space="preserve">un </w:t>
            </w:r>
            <w:r w:rsidR="00000000" w:rsidRPr="00000000" w:rsidDel="00000000">
              <w:rPr>
                <w:rtl w:val="0"/>
              </w:rPr>
              <w:t xml:space="preserve">23.4. </w:t>
            </w:r>
            <w:r w:rsidR="00000000" w:rsidRPr="00000000" w:rsidDel="00000000">
              <w:rPr>
                <w:rtl w:val="0"/>
              </w:rPr>
              <w:t xml:space="preserve">apakšpunkta</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25. punktu, nodrošinot skaidras normas un attiecīgā regulējuma nepārprotamu atbilstību noteikumu projekta izdošanas tiesiskajam pamatam - Pārtikas aprites uzraudzības likuma 4. panta otrajai daļai un 19. panta piektajai daļai. Norādām, ka regulējums, kas paredz, kādus materiālus vispār drīkst laist tirgū (nevis, piemēram, kādus materiālus var izmantot saskarē ar dzeramo ūdeni), varētu pārsniegt minētajā likumā paredzēto pilnvarojumu, ņemot vērā, ka netiek paredzēta sasaiste ar noteikumu projekta piemērošanas jomu. Papildus norādām, ka atbilstoši direktīvas Nr. 2020/2184 11. panta 7. punktā noteiktajam šo noteikumu 23.1.,  23.2., 23.3. un 23.4. apakšpunkta prasībām būtu jābūt ievērotām, ja tiek ievērotas minimālās higiēnas prasības, kas no 25. punkta skaidri neizriet.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Tirgū drīkst laist tikai tādus materiālus, kas paredzēti saskarei ar dzeramo ūdeni, kas apstiprināti saskaņā ar Eiropas Komisijas noteiktajām minimālajām higiēnas prasībām, un kuri, ieskaitot tajos izmantotos gala materiālus, atbilst šo noteikumu </w:t>
            </w:r>
            <w:r w:rsidR="00000000" w:rsidRPr="00000000" w:rsidDel="00000000">
              <w:rPr>
                <w:rtl w:val="0"/>
              </w:rPr>
              <w:t xml:space="preserve">23.1., </w:t>
            </w:r>
            <w:r w:rsidR="00000000" w:rsidRPr="00000000" w:rsidDel="00000000">
              <w:rPr>
                <w:rtl w:val="0"/>
              </w:rPr>
              <w:t xml:space="preserve"> 23.2., 23.3. </w:t>
            </w:r>
            <w:r w:rsidR="00000000" w:rsidRPr="00000000" w:rsidDel="00000000">
              <w:rPr>
                <w:rtl w:val="0"/>
              </w:rPr>
              <w:t xml:space="preserve">un </w:t>
            </w:r>
            <w:r w:rsidR="00000000" w:rsidRPr="00000000" w:rsidDel="00000000">
              <w:rPr>
                <w:rtl w:val="0"/>
              </w:rPr>
              <w:t xml:space="preserve">23.4. </w:t>
            </w:r>
            <w:r w:rsidR="00000000" w:rsidRPr="00000000" w:rsidDel="00000000">
              <w:rPr>
                <w:rtl w:val="0"/>
              </w:rPr>
              <w:t xml:space="preserve">apakšpunkta</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 punktā ietverti atsauci uz minimālajām higiēnas prasībām nepieciešams izvērtēt un precizēt, kā arī sniegt atbilstošu skaidrojumu noteikumu projekta anotācijas 5. sadaļā par attiecīgā Eiropas Komisijas tiesību akta pārņemšanu vai ieviešanu noteikumu projektā. Vēršam uzmanību, ka nav skaidri saprotams, kādā Eiropas Komisijas tiesību aktā iekļautas minimālās higiēnas prasības, tai skaitā vai šīs prasības ietvertas tieši piemērojamā Eiropas Savienības normatīvajā aktā. Norādām, ka atbilstoši juridiskās tehnikas prasībām atsauces noteikumu projektā pieļaujamas vienīgi uz spēkā esošiem (vai kas spēkā stāsies noteikumu projekta spēkā stāšanās dienā) minētajiem Eiropas Savienības tiesību aktiem (piemēram, regulām). Vienlaikus vēršam uzmanību, ka direktīvas Nr. 2020/2184 11. panta 9. punktā dalībvalstīm, līdz šī panta 2. punktā minēto deleģēto aktu pieņemšanai, paredzēta rīcības brīvība saglabāt vai pieņemt valsts pasākumus par konkrētām minimālās higiēnas prasībām materiāliem, tādēļ lūdzam izvērtēt iespēju minimālās higiēnas prasības ietvert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Dzeramā ūdens ņemšanas vietas sateces baseinu (turpmāk – sateces baseins) nosaka LVĢMC, izmantojot vienotu metodiku sateces baseina noteikšanai un kartēšanai.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131. punktam lūdzam noteikumu projekta 41. punktā neatsaukties uz vienotu metodiku sateces baseina noteikšanai un kartēšanai, bet tā vietā noteikumu projektā paredzēt, ka attiecīgā metodika ar atbilstošu saturu tiek izstrādāta.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sateces baseina riska novērtējums liecina par nepieciešamību īstenot pasākumus risku mazināšanai, LVĢMC informē par to Vides aizsardzības un reģionālās attīstības ministriju (turpmāk - VARAM) un Inspekciju. VARAM uzdod: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49 punktā paredzēt konkrētu termiņu informēšanai, tādējādi nodrošinot attiecīgās normas  nepārprotamu izteiksmi. Tāpat līdzīgi lūdzam izvērtēt un konkrētu termiņu paredzēt arī citos gadījumos - 50. un 51.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monitoringu ir īstenojis ūdens piegādātājs, tas pēc iespējas drīzāk, vēlākais nedēļas laikā elektroniska dokumenta veidā par to informē Inspekciju;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71.1. un 71.2., kā arī 85.1. un 85.2. apakšpunktā norādīt atskaites punktus termiņu (piemēram, 71.1. apakšpunktā termiņa - nedēļa) aprēķināšanai, tādējādi nodrošinot attiecīgo normu nepārprotamu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Inspekcija, saskaņā ar Pārtikas aprites uzraudzības likumā noteikto var piešķirt ūdenim pazeminātas nekaitīguma vai kvalitātes prasības (turpmāk – īpašas normas). Īpašas normas var piešķirt uz iespējami īsu laiku, ne ilgāk kā uz trīs gadiem attiecībā uz rādītāju vērtībām, kas iekļautas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2.punktā noteikto ķīmisko rādītāju vai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neietverto papildu rādītāju vērtībām, kas noteiktas saskaņā ar šo noteikumu </w:t>
            </w:r>
            <w:r w:rsidR="00000000" w:rsidRPr="00000000" w:rsidDel="00000000">
              <w:rPr>
                <w:rtl w:val="0"/>
              </w:rPr>
              <w:t xml:space="preserve">59. </w:t>
            </w:r>
            <w:r w:rsidR="00000000" w:rsidRPr="00000000" w:rsidDel="00000000">
              <w:rPr>
                <w:rtl w:val="0"/>
              </w:rPr>
              <w:t xml:space="preserve">punktu</w:t>
            </w:r>
            <w:r w:rsidR="00000000" w:rsidRPr="00000000" w:rsidDel="00000000">
              <w:rPr>
                <w:rtl w:val="0"/>
              </w:rPr>
              <w:t xml:space="preserve">. Īpašas normas nenosaka fasētam dzeramajam ūdenim un dzeramajam ūdenim, kas pildīts cisternās.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59. punktā nav norādītas papildu rādītāju vērtības (iespējams, šeit domāts noteikumu projekta 29. punkts), tādēļ lūdzam precizēt noteikumu projekta 92. punktā ietverto attiecīgo atsauci,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Inspekcija gadījumos, kad pārsniegtas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un 2. punktā noteiktās rādītāju vērtības, sagatavo un pēc tam ik gadu atjaunina datu kopu, kura satur monitoringa rezultātus, kas apkopoti saskaņā ar ūdensapgādes sistēmas riska novērtēšanu un monitoringu programmu īstenošanu, tai skaitā kontrolsaraksta monitoringa datus un informāciju par korektīvajiem pasākumiem, kas veikti saskaņā ar šo noteikumu </w:t>
            </w:r>
            <w:r w:rsidR="00000000" w:rsidRPr="00000000" w:rsidDel="00000000">
              <w:rPr>
                <w:rtl w:val="0"/>
              </w:rPr>
              <w:t xml:space="preserve">15.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punktu, </w:t>
            </w:r>
            <w:r w:rsidR="00000000" w:rsidRPr="00000000" w:rsidDel="00000000">
              <w:rPr>
                <w:rtl w:val="0"/>
              </w:rPr>
              <w:t xml:space="preserve">68.3. </w:t>
            </w:r>
            <w:r w:rsidR="00000000" w:rsidRPr="00000000" w:rsidDel="00000000">
              <w:rPr>
                <w:rtl w:val="0"/>
              </w:rPr>
              <w:t xml:space="preserve">apakšpunktu</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un </w:t>
            </w:r>
            <w:r w:rsidR="00000000" w:rsidRPr="00000000" w:rsidDel="00000000">
              <w:rPr>
                <w:rtl w:val="0"/>
              </w:rPr>
              <w:t xml:space="preserve">79.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114. punktā ietvertās atsauces, nodrošinot skaidras tiesību normas. Norādām, ka, piemēram, noteikumu projekta 15. un 19. punktā nav minēti korektīvie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noteikumu projekta vispārīgajos jautājumos pārņemta Ministru kabineta 2017. gada 14. novembra noteikumu Nr. 671 "Dzeramā ūdens obligātās nekaitīguma un kvalitātes prasības, monitoringa un kontroles kārtība" prasība, ka ūdens piegādātājam, kura īpašumā vai valdījumā ir ūdensapgādes infrastruktūra un kurš nodrošina apdzīvotas vietas ar dzeramo ūdeni, ir noteikta atbildība par ēkas iekšējiem ūdensvadiem attiecīgajos būvnormatīvos par ēku iekšējo ūdensvadu un kanalizāciju un ūdensapgādes būvēm, kā arī Ūdenssaimniecības pakalpojumu likumā. Vēršam uzmanību, ka attiecīga prasība noteikumu projektā nav iekļauta, tādēļ lūdzam izvērtēt un precizēt noteikumu projekta anotācijā sniegto informāciju vai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anotācijas 5.4. 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izvērstāk skaidrot direktīvas Nr. 2020/2184: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 panta 1. punkta pirmās daļas "a", "b", "c" un "d" apakšpunkta (norādot </w:t>
            </w:r>
            <w:r w:rsidR="00000000" w:rsidRPr="00000000" w:rsidDel="00000000">
              <w:rPr>
                <w:u w:val="single"/>
                <w:rtl w:val="0"/>
              </w:rPr>
              <w:t xml:space="preserve">par katru no apakšpunktiem, kādos normatīvajos aktos paredzēts pārņemt attiecīgās prasības</w:t>
            </w:r>
            <w:r w:rsidR="00000000" w:rsidRPr="00000000" w:rsidDel="00000000">
              <w:rPr>
                <w:rtl w:val="0"/>
              </w:rPr>
              <w:t xml:space="preserve">) un otrās daļas pārņemšanu noteikumu projektā. Vienlaikus anotācijā norādīts, ka daļa direktīvas Nr. 2020/2184 7. un  8. panta prasību tiek vai tiks pārņemtas arī citos normatīvajos aktos, tomēr 1. tabulā nav norādīts uz citu normatīvo aktu prasībām, kurās paredzēts pārņemt minētās direktīvas 7. un 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8. panta 4. punkta "a", "b", "c" un "d" apakšpunkta un tā otrās daļas pārņemšanu noteikumu projektā, tai skaitā skaidrojot, vai paredzēt tiek nepieciešamības izvērtēšana izveidot vai pielāgot aizsargjoslas gruntsūdeņiem un virszemes ūdeņiem, kā minēts Direktīvas 2000/60/EK 7. panta 3. punktā, un jebkādas citas svarīgas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13. panta 2. punkta "a", "b", "c", "d" un "e" apakšpunta pārņemšanu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sadarbībā ar par attiecīgo jomu atbildīgo ministriju skaidrot direktīvas Nr. 2020/2184  4. panta 3. punkta, 11. panta 7. punkta, 16. panta, 18. panta 1. punkta "a" apakšpunkta un otrās daļas prasību pārņemšanu nacionālajā tiesību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skaidrot Padomes 2013. gada 22. oktobra Direktīvas 2013/51/ Euratom, ar ko nosaka iedzīvotāju veselības aizsardzības prasības attiecībā uz radioaktīvām vielām dzeramajā ūdenī, 6. panta 1. punkta abu daļu, 2. un 3. punkta pārņemšanu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direktīvas Nr. 2020/2184 8. panta 2. punktā, 11. panta 9. punktā, 13. panta 8. punkta sestajā daļā un 18. panta 5. punktā ietverta rīcības brīvība, tādēļ lūdzam atbilstoši papildināt aili (sniegt pamatojumu) par dalībvalsts rīcības brīvības izmantošanu, norādot konkrētās direktīvas normas, kas paredz rīcības brīvību, kādā veidā minētā rīcības brīvība ir izmantota noteikumu projektā, un to, kādēļ ir vai nav izmantota direktīvā Nr. 2020/2184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līdz 2023. gada 15. decembrim izstrādāt informatīvo ziņojumu par pašvaldībām nepieciešamajiem resursiem un investīcijām, tai skaitā no Eiropas Savienības fondu līdzekļiem, ūdensapgādes un kanalizācijas sistēmām Ministru kabineta noteikumu projekta "Dzeramā ūdens obligātās nekaitīguma un kvalitātes prasības, monitoringa un kontroles kārtība" (22-TA-2538) prasību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attiecīgā uzdevuma nepārprotamu izpratni, lūdzam lēmuma projekta 3. punktā paredzēt tālāko rīcību ar izstrādāto informatīvo ziņojumu, proti, vai vides aizsardzības un reģionālās attīstības ministram attiecīgais informatīvais ziņojums noteiktā termiņā jāiesniedz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Inspekcija publiskajos dzeramā ūdens apgādes objektos no ūdens ņemšanas vietas līdz patērētājam, pārbauda minimālo prasību ievērošanu ūdens apstrādes ķīmiskajiem maisījumiem, kas nonāk saskarē ar dzeramo ūdeni un veic ķīmisko maisījumu tirgus uzraudzību saskaņā ar ES Regulu 2019/1020 par tirgus uzraudzību un preču atbilstību, kā arī likumu </w:t>
            </w:r>
            <w:r w:rsidR="00000000" w:rsidRPr="00000000" w:rsidDel="00000000">
              <w:rPr>
                <w:rtl w:val="0"/>
              </w:rPr>
              <w:t xml:space="preserve">"Par atbilstības novērtēšanu"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saīsinājumu ("ES Regulu 2019/1020") Eiropas parlamenta un Padomes 2019. gada 20. jūnija Regulai 2019/1020 par tirgus uzraudzību un ar ko groza Direktīvu 2004/42/EK un Regulas (EK) Nr. 765/2008 un (ES) Nr. 305/2011 atrunāt pirmo reizi, kad minētā regula noteikumu projekta tekstā minēta - 8. punktā, kā arī lūdzam lietot pilnu minētās regulas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ūdens piegādātājs atbilstoši Inspekcijas apstiprinātai monitoringa programmai veic auditmonitoringu, lai iegūtu informāciju par dzeramā ūdens drošumu un kvalitāti kopumā raksturojošajiem B grupas mikrobioloģiskajiem, ķīmiskajiem un indikatorrādītājiem, saskaņā ar šo noteikumu </w:t>
            </w:r>
            <w:r w:rsidR="00000000" w:rsidRPr="00000000" w:rsidDel="00000000">
              <w:rPr>
                <w:rtl w:val="0"/>
              </w:rPr>
              <w:t xml:space="preserve">2.</w:t>
            </w:r>
            <w:r w:rsidR="00000000" w:rsidRPr="00000000" w:rsidDel="00000000">
              <w:rPr>
                <w:rtl w:val="0"/>
              </w:rPr>
              <w:t xml:space="preserve">  pielikuma 1.punktu, kā arī par kontrolsarakstā iekļautajiem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30.2. apakšpunktā konkretizēt atsauci uz šo noteikumu 2. pielikuma 1.2.apakšpunktu,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Inspekcija, pamatojoties uz ūdensapgādes sistēmas riska novērtēšanas rezultātiem ūdens piegādātājam samazina rādītāja monitoringa biežumu vai svītro kādu rādītāju no monitorējamo rādītāju saraksta, izņemot šo noteikumu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 punktā minētos pamata rādītājus, tikai gadījumos, ja Inspekcijai ir informācija, ka, to darot, netiks apdraudēta dzeramā ūdens kvalitāte. Rādītāja monitoringa biežumu samazina vai kādu rādītāju svītro no monitorējamo rādītāju saraksta atbilstoši šī apakšpunkta pirmajā daļā minētajam šādos gadījumos: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59. punktā svītrot vārdus "atbilstoši šī apakšpunkta pirmajā daļā minētajam", ņemot vērā, ka 59. punktā nav daļu, bet ir teikumi un ir acīmredzami, ka runa 59. punkta otrajā teikumā iet par minētā punkta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Ja pārsniegta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1. punktā minētā radioaktīvo vielu vērtība dzeramajā ūdenī, Inspekcija sadarbībā ar Radiācijas drošības centru izvērtē, vai radioaktīvās vielas dzeramajā ūdenī nerada tādus draudus cilvēku veselībai, kuru dēļ nepieciešams rīkoties, kā arī, ja nepieciešams, organizē korektīvas darbības, lai uzlabotu ūdens kvalitāti un nodrošinātu tādu kvalitātes līmeni, kas atbilst cilvēku veselības aizsardzības prasībām no radiācijas drošības viedokļa. Korektīvās darbības īsteno bez šā punkta pirmajā daļā minētās izvērtēšanas, ja radona koncentrācija pārsniedz 1000 Bq/l.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86. punktā aizstāt vārdus "šā punkta pirmajā daļā" ar vārdiem "šā punkta pirmajā teikumā", ņemot vērā, ka minētajā punktā nav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Šo noteikumu </w:t>
            </w:r>
            <w:r w:rsidR="00000000" w:rsidRPr="00000000" w:rsidDel="00000000">
              <w:rPr>
                <w:rtl w:val="0"/>
              </w:rPr>
              <w:t xml:space="preserve">30.2. </w:t>
            </w:r>
            <w:r w:rsidR="00000000" w:rsidRPr="00000000" w:rsidDel="00000000">
              <w:rPr>
                <w:rtl w:val="0"/>
              </w:rPr>
              <w:t xml:space="preserve">apakšpunkt</w:t>
            </w:r>
            <w:r w:rsidR="00000000" w:rsidRPr="00000000" w:rsidDel="00000000">
              <w:rPr>
                <w:rtl w:val="0"/>
              </w:rPr>
              <w:t xml:space="preserve">ā, </w:t>
            </w:r>
            <w:r w:rsidR="00000000" w:rsidRPr="00000000" w:rsidDel="00000000">
              <w:rPr>
                <w:rtl w:val="0"/>
              </w:rPr>
              <w:t xml:space="preserve">34. </w:t>
            </w:r>
            <w:r w:rsidR="00000000" w:rsidRPr="00000000" w:rsidDel="00000000">
              <w:rPr>
                <w:rtl w:val="0"/>
              </w:rPr>
              <w:t xml:space="preserve">punkt</w:t>
            </w:r>
            <w:r w:rsidR="00000000" w:rsidRPr="00000000" w:rsidDel="00000000">
              <w:rPr>
                <w:rtl w:val="0"/>
              </w:rPr>
              <w:t xml:space="preserve">ā un </w:t>
            </w:r>
            <w:r w:rsidR="00000000" w:rsidRPr="00000000" w:rsidDel="00000000">
              <w:rPr>
                <w:rtl w:val="0"/>
              </w:rPr>
              <w:t xml:space="preserve">2. </w:t>
            </w:r>
            <w:r w:rsidR="00000000" w:rsidRPr="00000000" w:rsidDel="00000000">
              <w:rPr>
                <w:rtl w:val="0"/>
              </w:rPr>
              <w:t xml:space="preserve">pielikum</w:t>
            </w:r>
            <w:r w:rsidR="00000000" w:rsidRPr="00000000" w:rsidDel="00000000">
              <w:rPr>
                <w:rtl w:val="0"/>
              </w:rPr>
              <w:t xml:space="preserve">a 1.2.2.apakšpunktā noteiktos pienākumus, kā arī ūdens piegādātāja informēšanu par valsts īstenotā auditmonitoringa rezultātiem reizi gadā veic Inspekcija līdz 2024.gada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attiecīgos pienākumus no 2024. gada 1. janvāra veic piegādātājs, šo noteikumu 30.2. apakšpunktā, 34. punktā un 2. pielikuma 1.2.2.apakšpunktā noteiktos pienākumus, kā arī ūdens piegādātāja informēšanu par valsts īstenotā auditmonitoringa rezultātiem reizi gadā Inspekcija var veikt līdz 2023.gada 31.decembrim. Attiecīgi lūdzam atbilstoši precizēt noteikumu projekta 119.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106.3.2. apakšpunktā un 2. pielikumā  (nepieciešamības gadījumā arī cituviet noteikumu projektā) simbolu "/" aizstāt ar saikli "un" vai saikli "vai", jo no attiecīgās normas tekstuāli nav skaidrs, vai ar simbolu "/" tiek saprasts saiklis "un" vai saiklis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14.06.2023. 20.08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14.06.2023. 20.08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Atzinumi_22-TA-2538.docx</dc:title>
</cp:coreProperties>
</file>

<file path=docProps/custom.xml><?xml version="1.0" encoding="utf-8"?>
<Properties xmlns="http://schemas.openxmlformats.org/officeDocument/2006/custom-properties" xmlns:vt="http://schemas.openxmlformats.org/officeDocument/2006/docPropsVTypes"/>
</file>