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(1.pielikums_Shēma)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DRN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Alus Darītāju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detalizētu kārtību, kādā nodokļa maksātājam būs jāveic nepārstrādātās un pārstrādātās plastmasas uzskaite. Tāpat jānosaka kārtība, kā tiks aprēķināta katra uzņēmuma nepārstrādātās plastmasas apjoms, lai izvairītos no nepamatotu maksājumu aprēķināšanas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Liniņš (LADS)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pārtikas un dzērienu ražotāji velta visas pūles, lai pielāgotos nebijušam  izejvielu un energoresursu cenu kāpumam. Izvērtējot, Likumprojekta ietekmi uz nozari, jāsecina, ka tā piemērošana no 2024. gada ir pāragra.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iekļaut Likumprojekta pārejas noteikumos tiesību normu, kas paredz  pirmo maksājumu 2026.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Liniņš (LADS)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15.08.2023.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15.08.2023.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Atzinumi_22-TA-2444.docx</dc:title>
</cp:coreProperties>
</file>

<file path=docProps/custom.xml><?xml version="1.0" encoding="utf-8"?>
<Properties xmlns="http://schemas.openxmlformats.org/officeDocument/2006/custom-properties" xmlns:vt="http://schemas.openxmlformats.org/officeDocument/2006/docPropsVTypes"/>
</file>