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7.3. punktu ar papildu apakšpunktu, nosakot, ka iekšējos normatīvajos aktos nosaka attālināto mācību organizēšanas kārtību, cita starpā iekļaujot rīcību, ja tiek konstatēta vai ir aizdomas par vardarbību pret izglītojamo.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7.3.x. rīcību, ja tiek konstatēta vai ir aizdomas par vardarbību pret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Kēla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07.02.2023.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07.02.2023.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