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Noteikumi par speciālās regulatīvās vides izveidi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22.05.2025.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22.05.2025.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