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vismaz projekta dzīves cikla laikā (amortizācijas periodā) vairāk nekā 50 % no ēkas platības tiks izmantots Iekšlietu ministrijas sistēmas iestāžu vai pašvaldības policijas institūciju funkciju īstenošanai. Amortizācijas periodu projekta iesniedzējs nosaka atbilstoši Nodrošinājuma valsts aģentūras vai attiecīgās pašvaldības izstrādātajai grāmatvedības politikai, kurā atzīst esošās ēkas pārbūves vai atjaunošanas izmaksas kā kapitālieguldījumu, ja tās būtiski palielina aktīva vērtību, uzlabo ēkas energoefektivitāti, funkcionalitāti un pagarina amortizācijas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noteikumu skaņošanas procesā netika ņemts vērā pašvaldību priekšlikums 15.2. punktā svītrot ierobežojumu par to, ka vairāk nekā 50 % no ēkas platības jābūt izmantotai pašvaldības policijas institūciju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pašvaldībās nereti ir ēkas, īpaši ārpus novadu administratīvajiem centriem, kurās resursu efektīvas izmantošanas nolūkos tiek nodrošinātas vairākas funkcijas – tajās var atrasties ne vien pašvaldības policija, bet arī Valsts vienotais klientu apkalpošanas centrs, bāriņtiesa, sociālais dienests vai būvvalde.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ierobežojums vairākām pašvaldībām liedz iespēju piedalīties šajā atklātajā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norādīto, lūdzam nenoteikt konkrētu procentuālu apjomu ēkas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Nodrošinājuma valsts aģentūra vai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gadījumi, ka ēkās kurās ir izvietota pašvaldības policija pieder pašvaldību kapitālsabiedrībām.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projekta iesniedzējs var būt arī pašvaldību kapitālsabiedrība.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Nodrošinājuma valsts aģentūra, pašvaldība vai pašvaldības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06.11.2025.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06.11.2025.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Atzinumi_25-TA-1802.docx</dc:title>
</cp:coreProperties>
</file>

<file path=docProps/custom.xml><?xml version="1.0" encoding="utf-8"?>
<Properties xmlns="http://schemas.openxmlformats.org/officeDocument/2006/custom-properties" xmlns:vt="http://schemas.openxmlformats.org/officeDocument/2006/docPropsVTypes"/>
</file>