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23. aprīļa noteikumos Nr. 258 "Eiropas Savienības kohēzijas politikas programmas 2021.–2027. gadam 4.3.6. specifiskā atbalsta mērķa "Veicināt nabadzības vai sociālās atstumtības riskam pakļauto cilvēku, tostarp vistrūcīgāko un bērnu, sociālo integrāciju" 4.3.6.9. pasākuma "Ģimenei draudzīgas vides un sabiedrības veidošana un intervences psiholoģiskā un emocionālā noturīguma veicināšanai"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tiešās attiecināmās personāla izmaksas, kuras veido šo noteikumu </w:t>
            </w:r>
            <w:r w:rsidR="00000000" w:rsidRPr="00000000" w:rsidDel="00000000">
              <w:rPr>
                <w:rtl w:val="0"/>
              </w:rPr>
              <w:t xml:space="preserve">20.5.</w:t>
            </w:r>
            <w:r w:rsidR="00000000" w:rsidRPr="00000000" w:rsidDel="00000000">
              <w:rPr>
                <w:rtl w:val="0"/>
              </w:rPr>
              <w:t xml:space="preserve"> apakšpunkt</w:t>
            </w:r>
            <w:r w:rsidR="00000000" w:rsidRPr="00000000" w:rsidDel="00000000">
              <w:rPr>
                <w:rtl w:val="0"/>
              </w:rPr>
              <w:t xml:space="preserve">ā minētās atbalstāmās darbības attiecināmās izmaksas,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pasākumā kopumā plāno kā vienu izmaksu pozīciju – vienoto likmi 20 procentu apmērā no pārējām šajos noteikumos minētajām projekta tiešajām attiecināmajām īstenošanas izmaksām, kas nav tiešās attiecināmās personāla izmaksas, piemērojot katrā projektu iesniegumu kārtā atšķirīgu vienoto personāla izmaksu likmi (1. kārtā – 13 procentu apmērā, 2. kārtā – 34 procentu apmērā). Minētās atbalstāmās darbības ietvaros ir attiecināmas finansējuma saņēmēja un sadarbības partnera projekta vadības personāla un īstenošanas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55. panta 1. punktā noteiktā iespēja paredz vienoto likmi līdz 20 % apjomam. Līdz ar to nav atbalstāms, ka tiek paredzēta vienotā likme virs 20%, kā arī jebkura vienotā likme personāla izmaksām ir jāsaskaņo ar vadošo iestādi. Lūdzam izvērtēt un attiecīgi precizēt noteikumu projekta 1.punktā izteikto 22.1.apakšpunktu, iepriekš saskaņojot vienoto likmi personāla izmaksām ar vadošo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norādīta informācija, ka pirmajā un otrajā projektu iesniegumu atlases kārtā ir iesniegti projektu iesniegumi priekšizskatīšanā, lūdzam papildināt anotācijas 1.3.sadaļu "Pašreizējā situācija, problēmas un risinājumi" ar informāciju par noteikumu projekta ietekmi uz projektu iesniegumu atlasi, un ka projekta iesniedzēji ir informēti par noteikumu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24-TA-1527</w:t>
    </w:r>
    <w:r>
      <w:br/>
    </w:r>
    <w:r w:rsidR="00000000" w:rsidRPr="00000000" w:rsidDel="00000000">
      <w:rPr>
        <w:rtl w:val="0"/>
      </w:rPr>
      <w:t xml:space="preserve">Izdrukāts 10.07.2024.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24-TA-1527</w:t>
    </w:r>
    <w:r>
      <w:br/>
    </w:r>
    <w:r w:rsidR="00000000" w:rsidRPr="00000000" w:rsidDel="00000000">
      <w:rPr>
        <w:rtl w:val="0"/>
      </w:rPr>
      <w:t xml:space="preserve">Izdrukāts 10.07.2024.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Atzinumi_24-TA-1527.docx</dc:title>
</cp:coreProperties>
</file>

<file path=docProps/custom.xml><?xml version="1.0" encoding="utf-8"?>
<Properties xmlns="http://schemas.openxmlformats.org/officeDocument/2006/custom-properties" xmlns:vt="http://schemas.openxmlformats.org/officeDocument/2006/docPropsVTypes"/>
</file>