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skaidrots, ka noteikumu projekta īstenošanai nepieciešamais finansējums tiks nodrošināts KEM budžeta apakšprogrammas 33.01.00 "Emisijas kvotu izsolīšanas instrumenta administrācija" ietvaros, attiecīgi anotācijas 3.sadaļā ieņēmumi un izdevumi būtu norādāmi tikai ailēs “saskaņā ar valsts budžetu kārtējam gadam” un “saskaņā ar vidēja termiņa budžeta ietvaru”, tai skaitā nosakot, ka finansējums noteikumu projekta īstenošanai būtu nodrošināms tā finansējuma apmēra ietvaros, kas KEM budžeta apakšprogrammai 33.01.00 "Emisijas kvotu izsolīšanas instrumenta administrācija" ir paredzēts saskaņā ar likumprojektu “Par valsts budžetu 2026. gadam un budžeta ietvaru 2026., 2027. un 2028. gadam”, kas ir atbalstīts Saeimā 1.lasījumā un šobrīd tiek gatavots izskatīšanai galīgajā 2.lasījumā. Atgādinām, ka ikgadēji šajā apakšprogrammā plānotais finansējums netiek apgūts pilnā apmērā, tāpēc 26 000 euro nodrošināšana ir jāparedz jau pieejamā finansējuma ietvaros, nepretendējot uz iespēju palielināt apakšprogrammas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3.sadaļas ailēs “saskaņā ar valsts budžetu kārtējam gadam” un “saskaņā ar vidēja termiņa budžeta ietvaru” 1.1. apakšpunktā norādītais līdzekļu apmērs pārsniedz KEM budžeta apakšprogrammā 33.01.00 "Emisijas kvotu izsolīšanas instrumenta administrācija" paredzētos līdzekļus, kā arī 2.1. apakšpunkts nav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un precizēt sniegto informāciju anotācijas 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minēts: "Nelaicīga direktīvas 2023/959 normu pārņemšana rada nenoteiktību kuģošanas sabiedrībām par pienākumu izpildes nosacījumiem, tā ietekmējot ES ETS ieviešanu un uzraudzību Latvijā un ES. Direktīvas 2023/959 jūras transporta regulējuma transponēšana kavēta jau 675 dienas (uz 2025. gada 4. novembri), kas rada šķēršļus ES ETS jūras transporta uzraudzībai Latvijā. Par nelaicīgu direktīvas 2023/959 transponēšanu Latvijai var draudēt ar sodu naudas piemērošanu, kas ar katru nokavēto dienu pieaug.".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minētās informācijas iekļaušanas anotācijā lietderību un dzēst vai arī papildināt anotāciju ar izvērstu informāciju par Direktīvas 2023/959 pārņemšanas procesu un ar to saistīto pārkāpuma procedūru, t.sk. informāciju par to, kāds ir potenciālais soda naudas apmērs, kādā kārtībā/formātā tiek risināti jautājumi par soda naudas aprēķināšanu un nomaksu, kā arī to, kāds ir finansējuma avots attiecīgās soda naudas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14.11.2025.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14.11.2025.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