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turpmākajiem rīcības virzieniem ilgtspējīgu finanšu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24.02.2023.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24.02.2023.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